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0FE69091" w:rsidR="000830E3" w:rsidRPr="004B21CD" w:rsidRDefault="00CB2F52" w:rsidP="00CB2F52">
      <w:pPr>
        <w:pStyle w:val="Pagedecouverture"/>
        <w:rPr>
          <w:noProof/>
        </w:rPr>
      </w:pPr>
      <w:bookmarkStart w:id="0" w:name="LW_BM_COVERPAGE"/>
      <w:r>
        <w:rPr>
          <w:noProof/>
        </w:rPr>
        <w:pict w14:anchorId="3235A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BB6681-685F-4FFE-B952-E3E5A0FAB86A" style="width:455.25pt;height:548.25pt">
            <v:imagedata r:id="rId15" o:title=""/>
          </v:shape>
        </w:pict>
      </w:r>
    </w:p>
    <w:bookmarkEnd w:id="0"/>
    <w:p w14:paraId="2BAF3ADB" w14:textId="77777777" w:rsidR="000830E3" w:rsidRPr="004B21CD" w:rsidRDefault="000830E3" w:rsidP="000830E3">
      <w:pPr>
        <w:rPr>
          <w:noProof/>
        </w:rPr>
        <w:sectPr w:rsidR="000830E3" w:rsidRPr="004B21CD" w:rsidSect="00CB2F52">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BFB5024" w14:textId="77777777" w:rsidR="00A24A13" w:rsidRPr="00E05184" w:rsidRDefault="00A24A13" w:rsidP="00E05184">
      <w:pPr>
        <w:pBdr>
          <w:top w:val="single" w:sz="4" w:space="1" w:color="auto"/>
          <w:left w:val="single" w:sz="4" w:space="4" w:color="auto"/>
          <w:bottom w:val="single" w:sz="4" w:space="1" w:color="auto"/>
          <w:right w:val="single" w:sz="4" w:space="4" w:color="auto"/>
        </w:pBdr>
        <w:spacing w:after="120"/>
        <w:rPr>
          <w:b/>
          <w:smallCaps/>
          <w:noProof/>
          <w:sz w:val="20"/>
          <w:u w:val="single"/>
          <w:lang w:val="en-IE" w:eastAsia="en-GB"/>
        </w:rPr>
      </w:pPr>
      <w:bookmarkStart w:id="1" w:name="_GoBack"/>
      <w:bookmarkEnd w:id="1"/>
      <w:r w:rsidRPr="004B21CD">
        <w:rPr>
          <w:b/>
          <w:smallCaps/>
          <w:noProof/>
          <w:szCs w:val="24"/>
          <w:u w:val="single"/>
          <w:lang w:val="en-IE" w:eastAsia="en-GB"/>
        </w:rPr>
        <w:lastRenderedPageBreak/>
        <w:t>Abstract</w:t>
      </w:r>
    </w:p>
    <w:p w14:paraId="333E549D" w14:textId="70913376" w:rsidR="00A24A13" w:rsidRPr="00E05184" w:rsidRDefault="00A24A13" w:rsidP="00E05184">
      <w:pPr>
        <w:pBdr>
          <w:top w:val="single" w:sz="4" w:space="1" w:color="auto"/>
          <w:left w:val="single" w:sz="4" w:space="4" w:color="auto"/>
          <w:bottom w:val="single" w:sz="4" w:space="1" w:color="auto"/>
          <w:right w:val="single" w:sz="4" w:space="4" w:color="auto"/>
        </w:pBdr>
        <w:spacing w:after="120"/>
        <w:rPr>
          <w:noProof/>
          <w:sz w:val="20"/>
          <w:lang w:val="en-IE" w:eastAsia="en-GB"/>
        </w:rPr>
      </w:pPr>
      <w:r w:rsidRPr="004B21CD">
        <w:rPr>
          <w:noProof/>
          <w:lang w:val="en-IE" w:eastAsia="en-GB"/>
        </w:rPr>
        <w:t>In Sweden, the level of perceived judicial independence continues to be very high among the general public and is now very high among companies. Work on legislative amendments to the Constitution, aimed in part at strengthening judicial independence, is progressing. While there are no plans to change the nomination system for lay judges, measures are examined</w:t>
      </w:r>
      <w:r w:rsidR="00AF2B0A">
        <w:rPr>
          <w:noProof/>
          <w:lang w:val="en-IE" w:eastAsia="en-GB"/>
        </w:rPr>
        <w:t xml:space="preserve"> by the Lay Judges Association</w:t>
      </w:r>
      <w:r w:rsidRPr="004B21CD">
        <w:rPr>
          <w:noProof/>
          <w:lang w:val="en-IE" w:eastAsia="en-GB"/>
        </w:rPr>
        <w:t xml:space="preserve"> to strengthen their functioning in the courts. Increased financial resources have been allocated to courts for 2026-2028 to address a rising caseload and strengthen court security, while recruitment remains a challenge. A new collective agreement between the National Courts Administration and the judges’ trade union clarifies existing safeguards and introduces new measures to ensure that the judges’ salary system support judicial independence. The Government is reflecting on further measures to strengthen the right to an effective remedy, while stakeholders continue to highlight key challenges in practice.</w:t>
      </w:r>
      <w:r w:rsidRPr="004B21CD">
        <w:rPr>
          <w:noProof/>
          <w:lang w:val="en-IE"/>
        </w:rPr>
        <w:t xml:space="preserve"> </w:t>
      </w:r>
      <w:r w:rsidRPr="004B21CD">
        <w:rPr>
          <w:noProof/>
          <w:lang w:val="en-IE" w:eastAsia="en-GB"/>
        </w:rPr>
        <w:t>The justice system continued to function effectively despite a sustained high level of incoming cases, and the digitalisation of justice remained at a very good overall level.</w:t>
      </w:r>
    </w:p>
    <w:p w14:paraId="47407213" w14:textId="6997DD80" w:rsidR="00A24A13" w:rsidRPr="004B21CD" w:rsidRDefault="00A24A13" w:rsidP="00E05184">
      <w:pPr>
        <w:pBdr>
          <w:top w:val="single" w:sz="4" w:space="1" w:color="auto"/>
          <w:left w:val="single" w:sz="4" w:space="4" w:color="auto"/>
          <w:bottom w:val="single" w:sz="4" w:space="1" w:color="auto"/>
          <w:right w:val="single" w:sz="4" w:space="4" w:color="auto"/>
        </w:pBdr>
        <w:spacing w:after="120"/>
        <w:rPr>
          <w:noProof/>
          <w:lang w:val="en-IE" w:eastAsia="en-GB"/>
        </w:rPr>
      </w:pPr>
      <w:r w:rsidRPr="004B21CD">
        <w:rPr>
          <w:noProof/>
          <w:lang w:val="en-IE" w:eastAsia="en-GB"/>
        </w:rPr>
        <w:t xml:space="preserve">The 2024-2027 Action plan against corruption and undue influence continues to be implemented, with the next strategic document expected to be a comprehensive anti-corruption strategy. The Government proposed further legislative reforms to strengthen the criminal justice framework and improve accountability for corruption in line with international recommendations. While the draft bill does not expand the definition of foreign bribery or introduce a corporate liability for bribery offences, prosecution of such offences has yet to improve. The investigation and prosecution of corruption are overall effective, with certain risks being monitored. While there are no plans to revise the asset declaration regime for public officials, the Government is reviewing relevant guidelines documents and reflects on a reform of the conflicts of interest rules. </w:t>
      </w:r>
      <w:r w:rsidR="00663CB4">
        <w:rPr>
          <w:noProof/>
          <w:lang w:val="en-IE" w:eastAsia="en-GB"/>
        </w:rPr>
        <w:t>T</w:t>
      </w:r>
      <w:r w:rsidRPr="004B21CD">
        <w:rPr>
          <w:noProof/>
          <w:lang w:val="en-IE" w:eastAsia="en-GB"/>
        </w:rPr>
        <w:t>here is no proposal to change the rules on revolving doors</w:t>
      </w:r>
      <w:r w:rsidR="00F44C96">
        <w:rPr>
          <w:noProof/>
          <w:lang w:val="en-IE" w:eastAsia="en-GB"/>
        </w:rPr>
        <w:t>.</w:t>
      </w:r>
      <w:r w:rsidRPr="004B21CD">
        <w:rPr>
          <w:noProof/>
          <w:lang w:val="en-IE" w:eastAsia="en-GB"/>
        </w:rPr>
        <w:t xml:space="preserve"> </w:t>
      </w:r>
      <w:r w:rsidR="00F44C96">
        <w:rPr>
          <w:noProof/>
          <w:lang w:val="en-IE" w:eastAsia="en-GB"/>
        </w:rPr>
        <w:t>N</w:t>
      </w:r>
      <w:r w:rsidR="000F2546">
        <w:rPr>
          <w:noProof/>
          <w:lang w:val="en-IE" w:eastAsia="en-GB"/>
        </w:rPr>
        <w:t xml:space="preserve">ew legislation </w:t>
      </w:r>
      <w:r w:rsidR="006B4681">
        <w:rPr>
          <w:noProof/>
          <w:lang w:val="en-IE" w:eastAsia="en-GB"/>
        </w:rPr>
        <w:t xml:space="preserve">strengthens the </w:t>
      </w:r>
      <w:r w:rsidRPr="004B21CD">
        <w:rPr>
          <w:noProof/>
          <w:lang w:val="en-IE" w:eastAsia="en-GB"/>
        </w:rPr>
        <w:t xml:space="preserve">rules on political party financing </w:t>
      </w:r>
      <w:r w:rsidR="006B4681">
        <w:rPr>
          <w:noProof/>
          <w:lang w:val="en-IE" w:eastAsia="en-GB"/>
        </w:rPr>
        <w:t>and introduces a mandatory lobbying register.</w:t>
      </w:r>
      <w:r w:rsidR="00DF3C0E">
        <w:rPr>
          <w:noProof/>
          <w:lang w:val="en-IE" w:eastAsia="en-GB"/>
        </w:rPr>
        <w:t xml:space="preserve"> </w:t>
      </w:r>
      <w:r w:rsidRPr="004B21CD">
        <w:rPr>
          <w:noProof/>
          <w:lang w:val="en-IE" w:eastAsia="en-GB"/>
        </w:rPr>
        <w:t>The 2021 Whistleblowers Act continues to be implemented and inspections of reporting channels in the private sector have been carried out. Measures are being taken to address the risk of undue influence in public administration and of corruption in public procurement, including through more transparent and reliable procurement data and greater scrutiny of bidders and suppliers.</w:t>
      </w:r>
    </w:p>
    <w:p w14:paraId="5A961977" w14:textId="63C31CF6" w:rsidR="00A24A13" w:rsidRPr="004B21CD" w:rsidRDefault="00A24A13" w:rsidP="00E05184">
      <w:pPr>
        <w:pBdr>
          <w:top w:val="single" w:sz="4" w:space="1" w:color="auto"/>
          <w:left w:val="single" w:sz="4" w:space="4" w:color="auto"/>
          <w:bottom w:val="single" w:sz="4" w:space="1" w:color="auto"/>
          <w:right w:val="single" w:sz="4" w:space="4" w:color="auto"/>
        </w:pBdr>
        <w:spacing w:after="120"/>
        <w:rPr>
          <w:noProof/>
          <w:lang w:val="en-IE" w:eastAsia="en-GB"/>
        </w:rPr>
      </w:pPr>
      <w:r w:rsidRPr="004B21CD">
        <w:rPr>
          <w:noProof/>
          <w:lang w:val="en-IE" w:eastAsia="en-GB"/>
        </w:rPr>
        <w:t>The independent national regulatory authority, the Swedish Agency for the Media, is taking on an increasing number of responsibilities.</w:t>
      </w:r>
      <w:r w:rsidRPr="004B21CD">
        <w:rPr>
          <w:noProof/>
          <w:lang w:val="en-IE"/>
        </w:rPr>
        <w:t xml:space="preserve"> </w:t>
      </w:r>
      <w:r w:rsidRPr="004B21CD">
        <w:rPr>
          <w:noProof/>
          <w:lang w:val="en-IE" w:eastAsia="en-GB"/>
        </w:rPr>
        <w:t>Sweden’s new Public Service Act came into force in December 2025, updating rules and funding for public service media until 2033.</w:t>
      </w:r>
      <w:r w:rsidRPr="004B21CD">
        <w:rPr>
          <w:noProof/>
          <w:lang w:val="en-IE"/>
        </w:rPr>
        <w:t xml:space="preserve"> </w:t>
      </w:r>
      <w:r w:rsidRPr="004B21CD">
        <w:rPr>
          <w:noProof/>
          <w:lang w:val="en-IE" w:eastAsia="en-GB"/>
        </w:rPr>
        <w:t>The amended framework for commercial radio channels is now applicable, harmonising regime for analogue and digital commercial radio licenses.</w:t>
      </w:r>
      <w:r w:rsidRPr="004B21CD">
        <w:rPr>
          <w:noProof/>
          <w:lang w:val="en-IE"/>
        </w:rPr>
        <w:t xml:space="preserve"> Changes to Sweden’s public access laws, aimed at addressing privacy and security needs, prompt reactions regarding their impact on transparency. </w:t>
      </w:r>
      <w:r w:rsidRPr="004B21CD">
        <w:rPr>
          <w:noProof/>
          <w:lang w:val="en-IE" w:eastAsia="en-GB"/>
        </w:rPr>
        <w:t>Sweden continues to provide a supportive environment for journalists, with high levels of public trust despite challenges in the evolving media landscape.</w:t>
      </w:r>
    </w:p>
    <w:p w14:paraId="4B5BDF58" w14:textId="39D363F3" w:rsidR="00A24A13" w:rsidRPr="004B21CD" w:rsidRDefault="00A24A13" w:rsidP="00A24A13">
      <w:pPr>
        <w:pBdr>
          <w:top w:val="single" w:sz="4" w:space="1" w:color="auto"/>
          <w:left w:val="single" w:sz="4" w:space="4" w:color="auto"/>
          <w:bottom w:val="single" w:sz="4" w:space="1" w:color="auto"/>
          <w:right w:val="single" w:sz="4" w:space="4" w:color="auto"/>
        </w:pBdr>
        <w:rPr>
          <w:noProof/>
          <w:lang w:val="en-IE"/>
        </w:rPr>
      </w:pPr>
      <w:r w:rsidRPr="004B21CD">
        <w:rPr>
          <w:noProof/>
          <w:lang w:val="en-IE"/>
        </w:rPr>
        <w:t>Some stakeholders continue to express concerns that the accelerated pace of legislative preparatory work poses challenges to public participation and may in certain cases adversely affect the quality of legislation.</w:t>
      </w:r>
      <w:r w:rsidRPr="004B21CD">
        <w:rPr>
          <w:noProof/>
        </w:rPr>
        <w:t xml:space="preserve"> </w:t>
      </w:r>
      <w:r w:rsidR="00454C13" w:rsidRPr="00F32703">
        <w:rPr>
          <w:noProof/>
          <w:lang w:val="en-IE"/>
        </w:rPr>
        <w:t>Work on legislative amendments to the Constitution, aimed at providing a framework to better deal with serious crises, is progressing</w:t>
      </w:r>
      <w:r w:rsidR="00F32703">
        <w:rPr>
          <w:bCs/>
          <w:noProof/>
          <w:szCs w:val="24"/>
          <w:lang w:val="en-US"/>
        </w:rPr>
        <w:t xml:space="preserve">. </w:t>
      </w:r>
      <w:r w:rsidRPr="004B21CD">
        <w:rPr>
          <w:noProof/>
          <w:lang w:val="en-IE"/>
        </w:rPr>
        <w:t>On 1 January 2026, Sweden had no leading judgment of the European Court of Human Rights pending implementation, a decrease of one as compared to the previous year. Civic space remains open, although stakeholders have identified certain challenges in the practical implementation of the recently enacted legal framework for the funding and operation of civil society organisations. The National Human Rights Institution and the Parliamentary Ombudsman continue to discharge their mandates effectively.</w:t>
      </w:r>
    </w:p>
    <w:p w14:paraId="50069C55" w14:textId="125A2623" w:rsidR="00133CBD" w:rsidRPr="00D16464" w:rsidRDefault="00133CBD" w:rsidP="321BE6B5">
      <w:pPr>
        <w:pageBreakBefore/>
        <w:pBdr>
          <w:top w:val="single" w:sz="4" w:space="1" w:color="auto"/>
          <w:left w:val="single" w:sz="4" w:space="4" w:color="auto"/>
          <w:bottom w:val="single" w:sz="4" w:space="17" w:color="auto"/>
          <w:right w:val="single" w:sz="4" w:space="4" w:color="auto"/>
        </w:pBdr>
        <w:rPr>
          <w:b/>
          <w:bCs/>
          <w:smallCaps/>
          <w:noProof/>
          <w:u w:val="single"/>
          <w:lang w:val="en-IE" w:eastAsia="en-GB"/>
        </w:rPr>
      </w:pPr>
      <w:r w:rsidRPr="321BE6B5">
        <w:rPr>
          <w:b/>
          <w:bCs/>
          <w:smallCaps/>
          <w:noProof/>
          <w:u w:val="single"/>
          <w:lang w:val="en-IE" w:eastAsia="en-GB"/>
        </w:rPr>
        <w:t xml:space="preserve">Recommendations </w:t>
      </w:r>
    </w:p>
    <w:p w14:paraId="28A84664" w14:textId="77777777" w:rsidR="00133CBD" w:rsidRPr="00D16464" w:rsidRDefault="00133CBD" w:rsidP="00133CBD">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 xml:space="preserve">Overall, based on the recommendations in the 2025 Rule of Law Report, and considering other developments that took place in the period of reference, the Commission concludes the following: </w:t>
      </w:r>
    </w:p>
    <w:p w14:paraId="5AA1382D" w14:textId="77777777" w:rsidR="00133CBD" w:rsidRPr="00D16464" w:rsidRDefault="00133CBD" w:rsidP="00133CBD">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75F50BFB" w14:textId="77777777" w:rsidR="00133CBD" w:rsidRPr="00D16464" w:rsidRDefault="00133CBD" w:rsidP="00133CBD">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i/>
          <w:noProof/>
          <w:szCs w:val="24"/>
          <w:lang w:val="en-IE"/>
        </w:rPr>
      </w:pPr>
      <w:r>
        <w:rPr>
          <w:noProof/>
          <w:szCs w:val="24"/>
          <w:lang w:val="en-IE" w:eastAsia="en-GB"/>
        </w:rPr>
        <w:t>No progress has been made on ensuring that the nomination system of lay judges safeguards their independence, as no measures have been introduced. As a</w:t>
      </w:r>
      <w:r>
        <w:rPr>
          <w:noProof/>
          <w:szCs w:val="24"/>
          <w:lang w:val="en-IE"/>
        </w:rPr>
        <w:t xml:space="preserve"> national debate over political parties’ role in nominations and its impact on lay judges’ independence continues</w:t>
      </w:r>
      <w:r>
        <w:rPr>
          <w:noProof/>
          <w:szCs w:val="24"/>
          <w:lang w:val="en-IE" w:eastAsia="en-GB"/>
        </w:rPr>
        <w:t>, i</w:t>
      </w:r>
      <w:r>
        <w:rPr>
          <w:noProof/>
          <w:szCs w:val="24"/>
          <w:lang w:val="en-IE"/>
        </w:rPr>
        <w:t xml:space="preserve">t is recommended to Sweden to </w:t>
      </w:r>
      <w:r>
        <w:rPr>
          <w:i/>
          <w:noProof/>
          <w:szCs w:val="24"/>
          <w:lang w:val="en-IE"/>
        </w:rPr>
        <w:t xml:space="preserve">take measures to safeguard the independence of lay judges as regards their nomination and functioning, taking into account European stands on judicial independence.   </w:t>
      </w:r>
    </w:p>
    <w:p w14:paraId="54D9A321" w14:textId="77777777" w:rsidR="00133CBD" w:rsidRPr="00D16464" w:rsidRDefault="00133CBD" w:rsidP="00133CBD">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i/>
          <w:noProof/>
          <w:szCs w:val="24"/>
          <w:lang w:val="en-IE" w:eastAsia="en-GB"/>
        </w:rPr>
      </w:pPr>
      <w:r>
        <w:rPr>
          <w:noProof/>
          <w:szCs w:val="24"/>
          <w:lang w:val="en-IE" w:eastAsia="en-GB"/>
        </w:rPr>
        <w:t xml:space="preserve">Some progress has been made on the fight </w:t>
      </w:r>
      <w:r>
        <w:rPr>
          <w:bCs/>
          <w:noProof/>
          <w:szCs w:val="24"/>
          <w:lang w:val="en-IE" w:eastAsia="en-GB"/>
        </w:rPr>
        <w:t>against</w:t>
      </w:r>
      <w:r>
        <w:rPr>
          <w:noProof/>
          <w:szCs w:val="24"/>
          <w:lang w:val="en-IE" w:eastAsia="en-GB"/>
        </w:rPr>
        <w:t xml:space="preserve"> foreign bribery, as draft legislation introduces some relevant provisions. Since its adoption is pending and prosecution of these offences has not improved, it is recommended to Sweden to </w:t>
      </w:r>
      <w:r>
        <w:rPr>
          <w:i/>
          <w:noProof/>
          <w:szCs w:val="24"/>
          <w:lang w:val="en-IE" w:eastAsia="en-GB"/>
        </w:rPr>
        <w:t>strengthen the fight against foreign bribery, including by improving enforcement.</w:t>
      </w:r>
    </w:p>
    <w:p w14:paraId="3C540813" w14:textId="77777777" w:rsidR="00133CBD" w:rsidRPr="00D16464" w:rsidRDefault="00133CBD" w:rsidP="00133CBD">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val="en-IE" w:eastAsia="en-GB"/>
        </w:rPr>
      </w:pPr>
      <w:r>
        <w:rPr>
          <w:noProof/>
          <w:lang w:val="en-IE" w:eastAsia="en-GB"/>
        </w:rPr>
        <w:t xml:space="preserve">No progress has been made to follow up on the inquiry on rules on revolving doors. As no measures are planned in this regard, it is recommended to Sweden to </w:t>
      </w:r>
      <w:r>
        <w:rPr>
          <w:i/>
          <w:noProof/>
          <w:lang w:val="en-IE" w:eastAsia="en-GB"/>
        </w:rPr>
        <w:t>ensure an appropriate follow-up to the evaluation of the rules on revolving doors.</w:t>
      </w:r>
    </w:p>
    <w:p w14:paraId="7EC687A2" w14:textId="77777777" w:rsidR="00133CBD" w:rsidRPr="00192972" w:rsidRDefault="00133CBD" w:rsidP="00133CBD">
      <w:pPr>
        <w:rPr>
          <w:noProof/>
          <w:lang w:val="en-IE" w:eastAsia="en-GB"/>
        </w:rPr>
      </w:pPr>
    </w:p>
    <w:p w14:paraId="0DBECA47" w14:textId="5A111357" w:rsidR="005C0E08" w:rsidRDefault="00016C17" w:rsidP="00016C17">
      <w:pPr>
        <w:pStyle w:val="Heading1"/>
        <w:pageBreakBefore/>
        <w:numPr>
          <w:ilvl w:val="0"/>
          <w:numId w:val="40"/>
        </w:numPr>
        <w:spacing w:before="0"/>
        <w:rPr>
          <w:noProof/>
          <w:u w:val="single"/>
          <w:lang w:val="en-IE"/>
        </w:rPr>
      </w:pPr>
      <w:r w:rsidRPr="004B21CD">
        <w:rPr>
          <w:noProof/>
          <w:u w:val="single"/>
          <w:lang w:val="en-IE"/>
        </w:rPr>
        <w:t>Justice System</w:t>
      </w:r>
      <w:r w:rsidRPr="004B21CD">
        <w:rPr>
          <w:b w:val="0"/>
          <w:noProof/>
          <w:u w:val="single"/>
          <w:vertAlign w:val="superscript"/>
          <w:lang w:val="en-IE"/>
        </w:rPr>
        <w:footnoteReference w:id="1"/>
      </w:r>
    </w:p>
    <w:p w14:paraId="302F5936" w14:textId="16F9E6CE" w:rsidR="00A24A13" w:rsidRPr="004B21CD" w:rsidRDefault="00A24A13" w:rsidP="000C3157">
      <w:pPr>
        <w:pStyle w:val="Heading2"/>
        <w:numPr>
          <w:ilvl w:val="0"/>
          <w:numId w:val="0"/>
        </w:numPr>
        <w:rPr>
          <w:noProof/>
          <w:lang w:val="en-IE"/>
        </w:rPr>
      </w:pPr>
      <w:r w:rsidRPr="004B21CD">
        <w:rPr>
          <w:noProof/>
          <w:lang w:val="en-IE"/>
        </w:rPr>
        <w:t>Independence</w:t>
      </w:r>
    </w:p>
    <w:p w14:paraId="756BAD9D" w14:textId="77777777" w:rsidR="00325F9B" w:rsidRDefault="00A24A13" w:rsidP="00BF76C3">
      <w:pPr>
        <w:rPr>
          <w:noProof/>
          <w:szCs w:val="24"/>
        </w:rPr>
      </w:pPr>
      <w:bookmarkStart w:id="3" w:name="_Hlk225370029"/>
      <w:r w:rsidRPr="004B21CD">
        <w:rPr>
          <w:b/>
          <w:bCs/>
          <w:noProof/>
          <w:szCs w:val="24"/>
        </w:rPr>
        <w:t xml:space="preserve">The level of perceived judicial independence in Sweden continues to be </w:t>
      </w:r>
      <w:r w:rsidRPr="004B21CD">
        <w:rPr>
          <w:b/>
          <w:noProof/>
          <w:szCs w:val="24"/>
        </w:rPr>
        <w:t>very high</w:t>
      </w:r>
      <w:r w:rsidRPr="004B21CD">
        <w:rPr>
          <w:b/>
          <w:bCs/>
          <w:noProof/>
          <w:szCs w:val="24"/>
        </w:rPr>
        <w:t xml:space="preserve"> among the general public and is now very high among companies.</w:t>
      </w:r>
      <w:r w:rsidRPr="004B21CD">
        <w:rPr>
          <w:noProof/>
          <w:szCs w:val="24"/>
        </w:rPr>
        <w:t xml:space="preserve"> Overall, 82% of the general population and 89% of companies perceive the level of independence of courts and judges to be ‘fairly or very good’ in 2026</w:t>
      </w:r>
      <w:r w:rsidRPr="004B21CD">
        <w:rPr>
          <w:rStyle w:val="FootnoteReference"/>
          <w:noProof/>
          <w:szCs w:val="24"/>
        </w:rPr>
        <w:footnoteReference w:id="2"/>
      </w:r>
      <w:r w:rsidRPr="004B21CD">
        <w:rPr>
          <w:noProof/>
          <w:szCs w:val="24"/>
        </w:rPr>
        <w:t>. Among the general public, the perceived judicial independence has increased in comparison with 2025 (76%) and significantly increased in comparison with 2022 (74%). The perceived judicial independence among companies has significantly increased in comparison with 2025 (74%), as well as in comparison with 2022 (70%).</w:t>
      </w:r>
    </w:p>
    <w:p w14:paraId="3A14D9B5" w14:textId="6B1A4EB2" w:rsidR="00A24A13" w:rsidRPr="004B21CD" w:rsidRDefault="00A24A13" w:rsidP="00BF76C3">
      <w:pPr>
        <w:rPr>
          <w:noProof/>
          <w:szCs w:val="24"/>
          <w:lang w:val="en-IE"/>
        </w:rPr>
      </w:pPr>
      <w:r w:rsidRPr="004B21CD">
        <w:rPr>
          <w:b/>
          <w:bCs/>
          <w:noProof/>
          <w:lang w:val="en-IE"/>
        </w:rPr>
        <w:t>Work on legislative amendments to the Constitution, aimed in part at strengthening judicial independence, is progressing.</w:t>
      </w:r>
      <w:bookmarkEnd w:id="3"/>
      <w:r w:rsidRPr="004B21CD">
        <w:rPr>
          <w:b/>
          <w:bCs/>
          <w:noProof/>
          <w:lang w:val="en-IE"/>
        </w:rPr>
        <w:t xml:space="preserve"> </w:t>
      </w:r>
      <w:r w:rsidRPr="004B21CD">
        <w:rPr>
          <w:noProof/>
          <w:lang w:val="en-IE"/>
        </w:rPr>
        <w:t>The work on strengthening judicial independence is progressing as part of a broader constitutional reform package</w:t>
      </w:r>
      <w:r w:rsidRPr="004B21CD">
        <w:rPr>
          <w:rStyle w:val="FootnoteReference"/>
          <w:noProof/>
          <w:lang w:val="en-IE"/>
        </w:rPr>
        <w:footnoteReference w:id="3"/>
      </w:r>
      <w:r w:rsidRPr="004B21CD">
        <w:rPr>
          <w:noProof/>
          <w:lang w:val="en-IE"/>
        </w:rPr>
        <w:t>. In October 2025, Parliament adopted the first decision on constitutional amendments aimed at reinforcing the independence of the judiciary and the protection of democracy</w:t>
      </w:r>
      <w:r w:rsidRPr="004B21CD">
        <w:rPr>
          <w:rStyle w:val="FootnoteReference"/>
          <w:noProof/>
          <w:lang w:val="en-IE"/>
        </w:rPr>
        <w:footnoteReference w:id="4"/>
      </w:r>
      <w:r w:rsidRPr="004B21CD">
        <w:rPr>
          <w:noProof/>
          <w:lang w:val="en-IE"/>
        </w:rPr>
        <w:t>. It includes elements related to court administration, judicial appointments and disciplinary procedures. This package also includes reforms to strengthen the procedure for amending the Constitution, notably by introducing stricter quorum and majority requirements. As required under the constitutional amendment procedure, a second, confirmatory vote must take place after the parliamentary elections scheduled for September 2026 before the amendments can enter into force, currently envisaged for 1 April 2027.</w:t>
      </w:r>
    </w:p>
    <w:p w14:paraId="4CF0D39D" w14:textId="274233A3" w:rsidR="00A24A13" w:rsidRPr="004B21CD" w:rsidRDefault="00A24A13" w:rsidP="00A24A13">
      <w:pPr>
        <w:spacing w:after="120"/>
        <w:contextualSpacing/>
        <w:rPr>
          <w:noProof/>
          <w:lang w:val="en-IE"/>
        </w:rPr>
      </w:pPr>
      <w:r w:rsidRPr="004B21CD">
        <w:rPr>
          <w:b/>
          <w:noProof/>
          <w:lang w:val="en-IE"/>
        </w:rPr>
        <w:t>While no progress has been made on the recommendation concerning the nomination system for lay judges, measures are under consideration by the Lay Judges’ Association to improve their functioning</w:t>
      </w:r>
      <w:r w:rsidRPr="004B21CD">
        <w:rPr>
          <w:rStyle w:val="FootnoteReference"/>
          <w:b/>
          <w:noProof/>
          <w:lang w:val="en-IE"/>
        </w:rPr>
        <w:footnoteReference w:id="5"/>
      </w:r>
      <w:r w:rsidRPr="004B21CD">
        <w:rPr>
          <w:b/>
          <w:noProof/>
          <w:lang w:val="en-IE"/>
        </w:rPr>
        <w:t xml:space="preserve">. </w:t>
      </w:r>
      <w:r w:rsidRPr="004B21CD">
        <w:rPr>
          <w:noProof/>
          <w:lang w:val="en-IE"/>
        </w:rPr>
        <w:t>Lay judges continue to be nominated exclusively by political parties and are formally appointed by municipal councils or county council assemblies</w:t>
      </w:r>
      <w:r w:rsidRPr="004B21CD">
        <w:rPr>
          <w:rStyle w:val="FootnoteReference"/>
          <w:noProof/>
          <w:lang w:val="en-IE"/>
        </w:rPr>
        <w:footnoteReference w:id="6"/>
      </w:r>
      <w:r w:rsidRPr="004B21CD">
        <w:rPr>
          <w:noProof/>
          <w:lang w:val="en-IE"/>
        </w:rPr>
        <w:t>. A national debate on the role of political parties in the nomination process is ongoing, with stakeholders calling for reforms to the current system in light of concerns about its impact on lay judges’ independence in certain cases</w:t>
      </w:r>
      <w:r w:rsidRPr="004B21CD">
        <w:rPr>
          <w:rStyle w:val="FootnoteReference"/>
          <w:noProof/>
          <w:lang w:val="en-IE"/>
        </w:rPr>
        <w:footnoteReference w:id="7"/>
      </w:r>
      <w:r w:rsidRPr="004B21CD">
        <w:rPr>
          <w:noProof/>
          <w:lang w:val="en-IE"/>
        </w:rPr>
        <w:t>. At the same time, the Lay Judges’ Association is exploring measures to improve the functioning of lay judges in courts. These include the introduction of a more comprehensive training programme from 2027 onwards</w:t>
      </w:r>
      <w:r w:rsidRPr="004B21CD">
        <w:rPr>
          <w:rStyle w:val="FootnoteReference"/>
          <w:noProof/>
          <w:lang w:val="en-IE"/>
        </w:rPr>
        <w:footnoteReference w:id="8"/>
      </w:r>
      <w:r w:rsidRPr="004B21CD" w:rsidDel="007A259F">
        <w:rPr>
          <w:noProof/>
          <w:lang w:val="en-IE"/>
        </w:rPr>
        <w:t xml:space="preserve">, </w:t>
      </w:r>
      <w:r w:rsidRPr="004B21CD">
        <w:rPr>
          <w:noProof/>
          <w:lang w:val="en-IE"/>
        </w:rPr>
        <w:t>joint public awareness-raising activities with the National Courts Administration to highlight the role of lay judges</w:t>
      </w:r>
      <w:r w:rsidRPr="004B21CD" w:rsidDel="007A259F">
        <w:rPr>
          <w:noProof/>
          <w:lang w:val="en-IE"/>
        </w:rPr>
        <w:t xml:space="preserve">, </w:t>
      </w:r>
      <w:r w:rsidRPr="004B21CD" w:rsidDel="00430122">
        <w:rPr>
          <w:noProof/>
          <w:lang w:val="en-IE"/>
        </w:rPr>
        <w:t xml:space="preserve">and </w:t>
      </w:r>
      <w:r w:rsidRPr="004B21CD" w:rsidDel="001F1D2E">
        <w:rPr>
          <w:noProof/>
          <w:lang w:val="en-IE"/>
        </w:rPr>
        <w:t>enhanced support for the political parties responsible for nominations</w:t>
      </w:r>
      <w:r w:rsidR="00DF3C0E">
        <w:rPr>
          <w:rStyle w:val="FootnoteReference"/>
          <w:noProof/>
          <w:lang w:val="en-IE"/>
        </w:rPr>
        <w:footnoteReference w:id="9"/>
      </w:r>
      <w:r w:rsidRPr="004B21CD" w:rsidDel="001F1D2E">
        <w:rPr>
          <w:noProof/>
          <w:lang w:val="en-IE"/>
        </w:rPr>
        <w:t xml:space="preserve"> to promote the recruitment of suitable candidates</w:t>
      </w:r>
      <w:r w:rsidRPr="004B21CD">
        <w:rPr>
          <w:rStyle w:val="FootnoteReference"/>
          <w:noProof/>
          <w:lang w:val="en-IE"/>
        </w:rPr>
        <w:footnoteReference w:id="10"/>
      </w:r>
      <w:r w:rsidRPr="004B21CD">
        <w:rPr>
          <w:noProof/>
          <w:lang w:val="en-IE"/>
        </w:rPr>
        <w:t>. In parallel, the National Audit Institution is conducting a study on the functioning of lay judges in courts which however does not cover the nomination process</w:t>
      </w:r>
      <w:r w:rsidRPr="004B21CD">
        <w:rPr>
          <w:rStyle w:val="FootnoteReference"/>
          <w:noProof/>
          <w:lang w:val="en-IE"/>
        </w:rPr>
        <w:footnoteReference w:id="11"/>
      </w:r>
      <w:r w:rsidRPr="004B21CD">
        <w:rPr>
          <w:noProof/>
          <w:lang w:val="en-IE"/>
        </w:rPr>
        <w:t>. As the Government has not taken specific steps to implement the recommendation, no progress has been made in this area.</w:t>
      </w:r>
    </w:p>
    <w:p w14:paraId="4DF3063A" w14:textId="77777777" w:rsidR="00A24A13" w:rsidRPr="004B21CD" w:rsidRDefault="00A24A13" w:rsidP="00A24A13">
      <w:pPr>
        <w:spacing w:after="120"/>
        <w:contextualSpacing/>
        <w:rPr>
          <w:noProof/>
          <w:lang w:val="en-IE"/>
        </w:rPr>
      </w:pPr>
    </w:p>
    <w:p w14:paraId="7F42B0E3" w14:textId="77777777" w:rsidR="00A24A13" w:rsidRPr="004B21CD" w:rsidRDefault="00A24A13" w:rsidP="00A24A13">
      <w:pPr>
        <w:spacing w:after="120"/>
        <w:contextualSpacing/>
        <w:rPr>
          <w:rFonts w:eastAsia="Calibri"/>
          <w:b/>
          <w:noProof/>
          <w:szCs w:val="24"/>
          <w:lang w:val="en-IE"/>
        </w:rPr>
      </w:pPr>
      <w:r w:rsidRPr="004B21CD">
        <w:rPr>
          <w:rFonts w:eastAsia="Calibri"/>
          <w:b/>
          <w:noProof/>
          <w:szCs w:val="24"/>
          <w:lang w:val="en-IE"/>
        </w:rPr>
        <w:t xml:space="preserve">Quality </w:t>
      </w:r>
    </w:p>
    <w:p w14:paraId="3C890228" w14:textId="77777777" w:rsidR="00A24A13" w:rsidRPr="004B21CD" w:rsidRDefault="00A24A13" w:rsidP="00A24A13">
      <w:pPr>
        <w:spacing w:after="120"/>
        <w:contextualSpacing/>
        <w:rPr>
          <w:rFonts w:eastAsia="Calibri"/>
          <w:b/>
          <w:noProof/>
          <w:szCs w:val="24"/>
          <w:lang w:val="en-IE"/>
        </w:rPr>
      </w:pPr>
      <w:bookmarkStart w:id="4" w:name="_Hlk225370045"/>
    </w:p>
    <w:p w14:paraId="6F247E96" w14:textId="4D1A90AA" w:rsidR="00A24A13" w:rsidRPr="004B21CD" w:rsidRDefault="00A24A13" w:rsidP="781CA1E8">
      <w:pPr>
        <w:spacing w:after="120"/>
        <w:contextualSpacing/>
        <w:rPr>
          <w:rFonts w:eastAsia="Calibri"/>
          <w:noProof/>
          <w:lang w:val="en-IE"/>
        </w:rPr>
      </w:pPr>
      <w:r w:rsidRPr="004B21CD">
        <w:rPr>
          <w:rFonts w:eastAsia="Calibri"/>
          <w:b/>
          <w:bCs/>
          <w:noProof/>
          <w:lang w:val="en-IE"/>
        </w:rPr>
        <w:t xml:space="preserve">Increased financial resources have been allocated to courts for 2026–2028 to address a rising caseload and strengthen court security, while recruitment remains a challenge. </w:t>
      </w:r>
      <w:bookmarkEnd w:id="4"/>
      <w:r w:rsidRPr="004B21CD">
        <w:rPr>
          <w:rFonts w:eastAsia="Calibri"/>
          <w:noProof/>
          <w:lang w:val="en-IE"/>
        </w:rPr>
        <w:t>The additional financial resources allocated for the period 2026–2028</w:t>
      </w:r>
      <w:r w:rsidRPr="004B21CD">
        <w:rPr>
          <w:rStyle w:val="FootnoteReference"/>
          <w:rFonts w:eastAsia="Calibri"/>
          <w:noProof/>
          <w:lang w:val="en-IE"/>
        </w:rPr>
        <w:footnoteReference w:id="12"/>
      </w:r>
      <w:r w:rsidRPr="004B21CD">
        <w:rPr>
          <w:rFonts w:eastAsia="Calibri"/>
          <w:noProof/>
          <w:lang w:val="en-IE"/>
        </w:rPr>
        <w:t xml:space="preserve"> aim to address a rising caseload and enhance court security, including preparedness measures. This follows several years of substantial funding increases as part of broader investments in the judicial system</w:t>
      </w:r>
      <w:r w:rsidRPr="004B21CD">
        <w:rPr>
          <w:rStyle w:val="FootnoteReference"/>
          <w:rFonts w:eastAsia="Calibri"/>
          <w:noProof/>
          <w:lang w:val="en-IE"/>
        </w:rPr>
        <w:footnoteReference w:id="13"/>
      </w:r>
      <w:r w:rsidRPr="004B21CD">
        <w:rPr>
          <w:rFonts w:eastAsia="Calibri"/>
          <w:noProof/>
          <w:lang w:val="en-IE"/>
        </w:rPr>
        <w:t>. The increase in funding has coincided with a significant rise in caseloads, which the National Courts Administration (NCA) attributes in part to broader investments in other parts of the criminal justice system, including additional resources for law enforcement authorities</w:t>
      </w:r>
      <w:r w:rsidRPr="004B21CD">
        <w:rPr>
          <w:rStyle w:val="FootnoteReference"/>
          <w:rFonts w:eastAsia="Calibri"/>
          <w:noProof/>
          <w:lang w:val="en-IE"/>
        </w:rPr>
        <w:footnoteReference w:id="14"/>
      </w:r>
      <w:r w:rsidRPr="004B21CD">
        <w:rPr>
          <w:rFonts w:eastAsia="Calibri"/>
          <w:noProof/>
          <w:lang w:val="en-IE"/>
        </w:rPr>
        <w:t>. The NCA expects that most courts will use the additional funds for further recruitment and investments in court security</w:t>
      </w:r>
      <w:r w:rsidRPr="004B21CD">
        <w:rPr>
          <w:rStyle w:val="FootnoteReference"/>
          <w:rFonts w:eastAsia="Calibri"/>
          <w:noProof/>
          <w:lang w:val="en-IE"/>
        </w:rPr>
        <w:footnoteReference w:id="15"/>
      </w:r>
      <w:r w:rsidRPr="004B21CD">
        <w:rPr>
          <w:rFonts w:eastAsia="Calibri"/>
          <w:noProof/>
          <w:lang w:val="en-IE"/>
        </w:rPr>
        <w:t>. Stakeholders have generally welcomed the additional resources</w:t>
      </w:r>
      <w:r w:rsidR="00DF3C0E">
        <w:rPr>
          <w:noProof/>
          <w:lang w:val="en-IE"/>
        </w:rPr>
        <w:t>.</w:t>
      </w:r>
      <w:r w:rsidRPr="004B21CD">
        <w:rPr>
          <w:rFonts w:eastAsia="Calibri"/>
          <w:noProof/>
          <w:lang w:val="en-IE"/>
        </w:rPr>
        <w:t xml:space="preserve"> Stakeholders report recruitment challenges driven by an increasing workload, and the growing complexity of cases, which have reduced the attractiveness of the position, as well as by geographical disparities in staff availability</w:t>
      </w:r>
      <w:r w:rsidRPr="781CA1E8">
        <w:rPr>
          <w:rStyle w:val="FootnoteReference"/>
          <w:rFonts w:eastAsia="Calibri"/>
          <w:noProof/>
          <w:lang w:val="en-IE"/>
        </w:rPr>
        <w:footnoteReference w:id="16"/>
      </w:r>
      <w:r w:rsidRPr="781CA1E8">
        <w:rPr>
          <w:rFonts w:eastAsia="Calibri"/>
          <w:noProof/>
          <w:lang w:val="en-IE"/>
        </w:rPr>
        <w:t>.</w:t>
      </w:r>
    </w:p>
    <w:p w14:paraId="66193A53" w14:textId="77777777" w:rsidR="00A24A13" w:rsidRPr="004B21CD" w:rsidRDefault="00A24A13" w:rsidP="00A24A13">
      <w:pPr>
        <w:spacing w:after="120"/>
        <w:contextualSpacing/>
        <w:rPr>
          <w:rFonts w:eastAsia="Calibri"/>
          <w:noProof/>
          <w:szCs w:val="24"/>
          <w:lang w:val="en-IE"/>
        </w:rPr>
      </w:pPr>
    </w:p>
    <w:p w14:paraId="70DF697A" w14:textId="77777777" w:rsidR="00A24A13" w:rsidRPr="004B21CD" w:rsidRDefault="00A24A13" w:rsidP="00A24A13">
      <w:pPr>
        <w:rPr>
          <w:noProof/>
          <w:szCs w:val="24"/>
          <w:lang w:val="en-IE"/>
        </w:rPr>
      </w:pPr>
      <w:bookmarkStart w:id="5" w:name="_Hlk225370060"/>
      <w:r w:rsidRPr="004B21CD">
        <w:rPr>
          <w:b/>
          <w:noProof/>
          <w:szCs w:val="24"/>
          <w:lang w:val="en-IE"/>
        </w:rPr>
        <w:t>The National Courts Administration and the judges’ trade union agreed on a new collective agreement, clarifying existing safeguards and introducing additional measures to support judicial independence with regard to the judges’ salary system</w:t>
      </w:r>
      <w:r w:rsidRPr="004B21CD">
        <w:rPr>
          <w:rStyle w:val="FootnoteReference"/>
          <w:b/>
          <w:noProof/>
          <w:szCs w:val="24"/>
          <w:lang w:val="en-IE"/>
        </w:rPr>
        <w:footnoteReference w:id="17"/>
      </w:r>
      <w:r w:rsidRPr="004B21CD">
        <w:rPr>
          <w:b/>
          <w:noProof/>
          <w:szCs w:val="24"/>
          <w:lang w:val="en-IE"/>
        </w:rPr>
        <w:t xml:space="preserve">. </w:t>
      </w:r>
      <w:bookmarkEnd w:id="5"/>
      <w:r w:rsidRPr="004B21CD">
        <w:rPr>
          <w:noProof/>
          <w:szCs w:val="24"/>
          <w:lang w:val="en-IE"/>
        </w:rPr>
        <w:t>A new collective agreement was concluded in October 2025 between the National Courts Administration and the judges’ trade union</w:t>
      </w:r>
      <w:r w:rsidRPr="004B21CD">
        <w:rPr>
          <w:rStyle w:val="FootnoteReference"/>
          <w:noProof/>
          <w:szCs w:val="24"/>
          <w:lang w:val="en-IE"/>
        </w:rPr>
        <w:footnoteReference w:id="18"/>
      </w:r>
      <w:r w:rsidRPr="004B21CD">
        <w:rPr>
          <w:noProof/>
          <w:szCs w:val="24"/>
          <w:lang w:val="en-IE"/>
        </w:rPr>
        <w:t>. The revised agreement specifies that the salaries of judges must not be influenced by their rulings, reinforcing and clarifying safeguards already present in the previous framework. The updated system also introduces mechanisms for resolving disagreements over salary decisions</w:t>
      </w:r>
      <w:r w:rsidRPr="004B21CD">
        <w:rPr>
          <w:rStyle w:val="FootnoteReference"/>
          <w:noProof/>
          <w:szCs w:val="24"/>
          <w:lang w:val="en-IE"/>
        </w:rPr>
        <w:footnoteReference w:id="19"/>
      </w:r>
      <w:r w:rsidRPr="004B21CD">
        <w:rPr>
          <w:noProof/>
          <w:szCs w:val="24"/>
          <w:lang w:val="en-IE"/>
        </w:rPr>
        <w:t>. Discussions between the National Courts Administration and the judges’ trade union on developing salary criteria for judges are ongoing under the revised agreement. These developments have been generally welcomed by stakeholders</w:t>
      </w:r>
      <w:r w:rsidRPr="004B21CD">
        <w:rPr>
          <w:rStyle w:val="FootnoteReference"/>
          <w:noProof/>
          <w:szCs w:val="24"/>
          <w:lang w:val="en-IE"/>
        </w:rPr>
        <w:footnoteReference w:id="20"/>
      </w:r>
      <w:r w:rsidRPr="004B21CD">
        <w:rPr>
          <w:noProof/>
          <w:szCs w:val="24"/>
          <w:lang w:val="en-IE"/>
        </w:rPr>
        <w:t>. The Swedish Judges’ Association maintains its criticism of the current salary system</w:t>
      </w:r>
      <w:r w:rsidRPr="004B21CD">
        <w:rPr>
          <w:rStyle w:val="FootnoteReference"/>
          <w:noProof/>
          <w:szCs w:val="24"/>
          <w:lang w:val="en-IE"/>
        </w:rPr>
        <w:footnoteReference w:id="21"/>
      </w:r>
      <w:r w:rsidRPr="004B21CD">
        <w:rPr>
          <w:noProof/>
          <w:szCs w:val="24"/>
          <w:lang w:val="en-IE"/>
        </w:rPr>
        <w:t>.</w:t>
      </w:r>
    </w:p>
    <w:p w14:paraId="45DE59AB" w14:textId="71780371" w:rsidR="00A24A13" w:rsidRPr="00F32703" w:rsidRDefault="00A24A13" w:rsidP="00A24A13">
      <w:pPr>
        <w:rPr>
          <w:b/>
          <w:bCs/>
          <w:noProof/>
          <w:lang w:val="en-IE"/>
        </w:rPr>
      </w:pPr>
      <w:bookmarkStart w:id="6" w:name="_Hlk225370075"/>
      <w:r w:rsidRPr="004B21CD">
        <w:rPr>
          <w:b/>
          <w:noProof/>
          <w:lang w:val="en-IE"/>
        </w:rPr>
        <w:t xml:space="preserve">The Government is reflecting on further measures to strengthen the right to an effective remedy, </w:t>
      </w:r>
      <w:r w:rsidRPr="004B21CD">
        <w:rPr>
          <w:b/>
          <w:bCs/>
          <w:noProof/>
          <w:lang w:val="en-IE"/>
        </w:rPr>
        <w:t>while stakeholders continue to highlight key challenges in practice</w:t>
      </w:r>
      <w:r w:rsidRPr="004B21CD">
        <w:rPr>
          <w:rStyle w:val="FootnoteReference"/>
          <w:b/>
          <w:bCs/>
          <w:noProof/>
          <w:lang w:val="en-IE"/>
        </w:rPr>
        <w:footnoteReference w:id="22"/>
      </w:r>
      <w:r w:rsidRPr="004B21CD">
        <w:rPr>
          <w:b/>
          <w:noProof/>
          <w:lang w:val="en-IE"/>
        </w:rPr>
        <w:t xml:space="preserve">. </w:t>
      </w:r>
      <w:bookmarkEnd w:id="6"/>
      <w:r w:rsidRPr="004B21CD">
        <w:rPr>
          <w:noProof/>
          <w:lang w:val="en-IE"/>
        </w:rPr>
        <w:t>The Government decided not to proceed with a proposal made by the all-party committee tasked with examining the issues concerning the protection of fundamental rights and freedoms to include a right to judicial review explicitly in the Constitution</w:t>
      </w:r>
      <w:r w:rsidRPr="004B21CD">
        <w:rPr>
          <w:rStyle w:val="FootnoteReference"/>
          <w:noProof/>
          <w:lang w:val="en-IE"/>
        </w:rPr>
        <w:footnoteReference w:id="23"/>
      </w:r>
      <w:r w:rsidRPr="004B21CD">
        <w:rPr>
          <w:noProof/>
          <w:lang w:val="en-IE"/>
        </w:rPr>
        <w:t>, expressing doubts as to whether it would ensure sufficient protection of the individual’s right to judicial review</w:t>
      </w:r>
      <w:r w:rsidR="008F2F6F" w:rsidRPr="008F2F6F">
        <w:rPr>
          <w:noProof/>
          <w:lang w:val="en-IE"/>
        </w:rPr>
        <w:t xml:space="preserve"> </w:t>
      </w:r>
      <w:r w:rsidR="008F2F6F">
        <w:rPr>
          <w:noProof/>
          <w:lang w:val="en-IE"/>
        </w:rPr>
        <w:t xml:space="preserve">and </w:t>
      </w:r>
      <w:r w:rsidR="008F2F6F" w:rsidRPr="004B21CD">
        <w:rPr>
          <w:noProof/>
          <w:lang w:val="en-IE"/>
        </w:rPr>
        <w:t>consider</w:t>
      </w:r>
      <w:r w:rsidR="008F2F6F">
        <w:rPr>
          <w:noProof/>
          <w:lang w:val="en-IE"/>
        </w:rPr>
        <w:t>ing</w:t>
      </w:r>
      <w:r w:rsidR="008F2F6F" w:rsidRPr="004B21CD">
        <w:rPr>
          <w:noProof/>
          <w:lang w:val="en-IE"/>
        </w:rPr>
        <w:t xml:space="preserve"> that the matter require</w:t>
      </w:r>
      <w:r w:rsidR="008F2F6F">
        <w:rPr>
          <w:noProof/>
          <w:lang w:val="en-IE"/>
        </w:rPr>
        <w:t>d</w:t>
      </w:r>
      <w:r w:rsidR="008F2F6F" w:rsidRPr="004B21CD">
        <w:rPr>
          <w:noProof/>
          <w:lang w:val="en-IE"/>
        </w:rPr>
        <w:t xml:space="preserve"> further examination</w:t>
      </w:r>
      <w:r w:rsidRPr="004B21CD">
        <w:rPr>
          <w:rStyle w:val="FootnoteReference"/>
          <w:noProof/>
          <w:lang w:val="en-IE"/>
        </w:rPr>
        <w:footnoteReference w:id="24"/>
      </w:r>
      <w:r w:rsidRPr="004B21CD">
        <w:rPr>
          <w:noProof/>
          <w:lang w:val="en-IE"/>
        </w:rPr>
        <w:t xml:space="preserve">. </w:t>
      </w:r>
      <w:r w:rsidR="000E44F3" w:rsidRPr="000E44F3">
        <w:rPr>
          <w:noProof/>
          <w:lang w:val="en-IE"/>
        </w:rPr>
        <w:t>On June 18, 2026, the Government decided to appoint a</w:t>
      </w:r>
      <w:r w:rsidR="00E24F3A">
        <w:rPr>
          <w:noProof/>
          <w:lang w:val="en-IE"/>
        </w:rPr>
        <w:t xml:space="preserve"> new</w:t>
      </w:r>
      <w:r w:rsidR="000E44F3" w:rsidRPr="000E44F3">
        <w:rPr>
          <w:noProof/>
          <w:lang w:val="en-IE"/>
        </w:rPr>
        <w:t xml:space="preserve"> all-party committee of inquiry to investigate whether</w:t>
      </w:r>
      <w:r w:rsidR="009C4C8F">
        <w:rPr>
          <w:noProof/>
          <w:lang w:val="en-IE"/>
        </w:rPr>
        <w:t>, a</w:t>
      </w:r>
      <w:r w:rsidR="00BE1476">
        <w:rPr>
          <w:noProof/>
          <w:lang w:val="en-IE"/>
        </w:rPr>
        <w:t>nd if so how</w:t>
      </w:r>
      <w:r w:rsidR="009C4C8F">
        <w:rPr>
          <w:noProof/>
          <w:lang w:val="en-IE"/>
        </w:rPr>
        <w:t xml:space="preserve">, </w:t>
      </w:r>
      <w:r w:rsidR="000E44F3" w:rsidRPr="000E44F3">
        <w:rPr>
          <w:noProof/>
          <w:lang w:val="en-IE"/>
        </w:rPr>
        <w:t>the right to judicial review needs to be strengthened by enshrining it as a new fundamental freedom and right in the Constitution</w:t>
      </w:r>
      <w:r w:rsidRPr="004B21CD">
        <w:rPr>
          <w:rStyle w:val="FootnoteReference"/>
          <w:noProof/>
          <w:lang w:val="en-IE"/>
        </w:rPr>
        <w:footnoteReference w:id="25"/>
      </w:r>
      <w:r w:rsidRPr="004B21CD">
        <w:rPr>
          <w:noProof/>
          <w:lang w:val="en-IE"/>
        </w:rPr>
        <w:t>. As regards other issues related to access to justice, the financial threshold for legal aid in civil cases has not been adjusted to inflation since 1999, leading to a steady decline in eligibility and, according to some stakeholders, effectively restricting access to legal aid. This situation is considered by some stakeholders to undermine effective access to justice, particularly for individuals with limited financial resources. They also consider that this is further exacerbated by the absence of collective redress mechanisms, which discourages litigation due to potentially substantial financial risks</w:t>
      </w:r>
      <w:r w:rsidRPr="004B21CD">
        <w:rPr>
          <w:rStyle w:val="FootnoteReference"/>
          <w:noProof/>
          <w:lang w:val="en-IE"/>
        </w:rPr>
        <w:footnoteReference w:id="26"/>
      </w:r>
      <w:r w:rsidRPr="004B21CD">
        <w:rPr>
          <w:noProof/>
          <w:lang w:val="en-IE"/>
        </w:rPr>
        <w:t>.</w:t>
      </w:r>
      <w:r w:rsidR="005C041F">
        <w:rPr>
          <w:noProof/>
          <w:lang w:val="en-IE"/>
        </w:rPr>
        <w:t xml:space="preserve"> </w:t>
      </w:r>
      <w:r w:rsidR="005C041F" w:rsidRPr="00F32703">
        <w:rPr>
          <w:noProof/>
        </w:rPr>
        <w:t xml:space="preserve">However, </w:t>
      </w:r>
      <w:r w:rsidR="006F6B88" w:rsidRPr="00F32703">
        <w:rPr>
          <w:noProof/>
        </w:rPr>
        <w:t xml:space="preserve">the Government notes that </w:t>
      </w:r>
      <w:r w:rsidR="005C041F" w:rsidRPr="00F32703">
        <w:rPr>
          <w:noProof/>
        </w:rPr>
        <w:t>there is national legislation that allows for group proceedings</w:t>
      </w:r>
      <w:r w:rsidR="006F6B88" w:rsidRPr="00F32703">
        <w:rPr>
          <w:rStyle w:val="FootnoteReference"/>
          <w:noProof/>
        </w:rPr>
        <w:footnoteReference w:id="27"/>
      </w:r>
      <w:r w:rsidR="006F6B88" w:rsidRPr="00F32703">
        <w:rPr>
          <w:noProof/>
        </w:rPr>
        <w:t>.</w:t>
      </w:r>
    </w:p>
    <w:p w14:paraId="7E22C1C5" w14:textId="77777777" w:rsidR="00A24A13" w:rsidRPr="00F32703" w:rsidRDefault="00A24A13" w:rsidP="00A24A13">
      <w:pPr>
        <w:rPr>
          <w:b/>
          <w:noProof/>
          <w:szCs w:val="24"/>
          <w:lang w:val="en-IE"/>
        </w:rPr>
      </w:pPr>
      <w:bookmarkStart w:id="7" w:name="_Hlk225252145"/>
      <w:r w:rsidRPr="00F32703">
        <w:rPr>
          <w:b/>
          <w:noProof/>
          <w:szCs w:val="24"/>
          <w:lang w:val="en-IE"/>
        </w:rPr>
        <w:t>Efficiency</w:t>
      </w:r>
    </w:p>
    <w:p w14:paraId="16709BCE" w14:textId="61E5D9F3" w:rsidR="00A24A13" w:rsidRPr="004B21CD" w:rsidRDefault="00A24A13" w:rsidP="00A24A13">
      <w:pPr>
        <w:rPr>
          <w:noProof/>
          <w:lang w:val="en-IE"/>
        </w:rPr>
      </w:pPr>
      <w:bookmarkStart w:id="8" w:name="_Hlk225370085"/>
      <w:bookmarkEnd w:id="7"/>
      <w:r w:rsidRPr="004B21CD">
        <w:rPr>
          <w:b/>
          <w:bCs/>
          <w:noProof/>
          <w:lang w:val="en-IE"/>
        </w:rPr>
        <w:t xml:space="preserve">The justice system continued to function effectively despite a sustained high level of incoming cases, and the digitalisation of justice remained at a very good overall level. </w:t>
      </w:r>
      <w:bookmarkEnd w:id="8"/>
      <w:r w:rsidRPr="004B21CD">
        <w:rPr>
          <w:noProof/>
          <w:lang w:val="en-IE"/>
        </w:rPr>
        <w:t>The number of incoming civil and commercial litigious cases has remained comparatively low in 2024, while the number of incoming administrative cases remained comparatively high in 2024</w:t>
      </w:r>
      <w:r w:rsidR="00F32703">
        <w:rPr>
          <w:rStyle w:val="FootnoteReference"/>
          <w:noProof/>
          <w:lang w:val="en-IE"/>
        </w:rPr>
        <w:footnoteReference w:id="28"/>
      </w:r>
      <w:r w:rsidRPr="004B21CD">
        <w:rPr>
          <w:noProof/>
          <w:lang w:val="en-IE"/>
        </w:rPr>
        <w:t>. The estimated time needed to resolve litigious civil and commercial cases at all court instances remains comparatively short</w:t>
      </w:r>
      <w:r w:rsidRPr="004B21CD">
        <w:rPr>
          <w:rStyle w:val="FootnoteReference"/>
          <w:noProof/>
          <w:lang w:val="en-IE"/>
        </w:rPr>
        <w:footnoteReference w:id="29"/>
      </w:r>
      <w:r w:rsidRPr="004B21CD">
        <w:rPr>
          <w:noProof/>
          <w:lang w:val="en-IE"/>
        </w:rPr>
        <w:t>. The estimated time needed to resolve administrative cases at all court instances also remains comparatively short (81 days at first stance, 75 days at second instance and 57 days at third instance)</w:t>
      </w:r>
      <w:r w:rsidR="0067275F">
        <w:rPr>
          <w:rStyle w:val="FootnoteReference"/>
          <w:noProof/>
          <w:lang w:val="en-IE"/>
        </w:rPr>
        <w:footnoteReference w:id="30"/>
      </w:r>
      <w:r w:rsidRPr="004B21CD">
        <w:rPr>
          <w:noProof/>
          <w:lang w:val="en-IE"/>
        </w:rPr>
        <w:t>. The clearance rate for civil and commercial litigious cases has increased</w:t>
      </w:r>
      <w:r w:rsidRPr="004B21CD">
        <w:rPr>
          <w:rStyle w:val="FootnoteReference"/>
          <w:noProof/>
          <w:lang w:val="en-IE"/>
        </w:rPr>
        <w:footnoteReference w:id="31"/>
      </w:r>
      <w:r w:rsidRPr="004B21CD">
        <w:rPr>
          <w:noProof/>
          <w:lang w:val="en-IE"/>
        </w:rPr>
        <w:t>, while it has</w:t>
      </w:r>
      <w:r w:rsidRPr="004B21CD" w:rsidDel="005F3B98">
        <w:rPr>
          <w:noProof/>
          <w:lang w:val="en-IE"/>
        </w:rPr>
        <w:t xml:space="preserve"> </w:t>
      </w:r>
      <w:r w:rsidRPr="004B21CD">
        <w:rPr>
          <w:noProof/>
          <w:lang w:val="en-IE"/>
        </w:rPr>
        <w:t>decreased for administrative cases</w:t>
      </w:r>
      <w:r w:rsidRPr="004B21CD">
        <w:rPr>
          <w:rStyle w:val="FootnoteReference"/>
          <w:noProof/>
          <w:lang w:val="en-IE"/>
        </w:rPr>
        <w:footnoteReference w:id="32"/>
      </w:r>
      <w:r w:rsidRPr="004B21CD">
        <w:rPr>
          <w:noProof/>
          <w:lang w:val="en-IE"/>
        </w:rPr>
        <w:t>. The number of pending litigious civil and commercial cases at first instance is one of the lowest among Member States</w:t>
      </w:r>
      <w:r w:rsidRPr="004B21CD">
        <w:rPr>
          <w:rStyle w:val="FootnoteReference"/>
          <w:noProof/>
          <w:lang w:val="en-IE"/>
        </w:rPr>
        <w:footnoteReference w:id="33"/>
      </w:r>
      <w:r w:rsidRPr="004B21CD">
        <w:rPr>
          <w:noProof/>
          <w:lang w:val="en-IE"/>
        </w:rPr>
        <w:t>.</w:t>
      </w:r>
      <w:r w:rsidRPr="004B21CD">
        <w:rPr>
          <w:b/>
          <w:bCs/>
          <w:noProof/>
          <w:lang w:val="en-IE"/>
        </w:rPr>
        <w:t xml:space="preserve"> </w:t>
      </w:r>
      <w:r w:rsidRPr="004B21CD">
        <w:rPr>
          <w:noProof/>
          <w:lang w:val="en-IE"/>
        </w:rPr>
        <w:t>According to the National Courts Administration (NCA), in 2025 the courts saw an increase in the number of cases filed by 4% compared to 2024 and saw an increase in decisions taken of 3% compared to 2024. The increase in the number of cases has been most pronounced in the district courts</w:t>
      </w:r>
      <w:r w:rsidRPr="004B21CD">
        <w:rPr>
          <w:rStyle w:val="FootnoteReference"/>
          <w:noProof/>
          <w:lang w:val="en-IE"/>
        </w:rPr>
        <w:footnoteReference w:id="34"/>
      </w:r>
      <w:r w:rsidRPr="004B21CD">
        <w:rPr>
          <w:noProof/>
          <w:lang w:val="en-IE"/>
        </w:rPr>
        <w:t>. With respect to digitalisation, the NCA is working on developing a new case management system and is actively engaged in innovation initiatives, including exploring the use of artificial intelligence to streamline operations while maintaining information security. Nevertheless, some gaps remain in digital solutions for conducting and following criminal proceedings</w:t>
      </w:r>
      <w:r w:rsidRPr="004B21CD">
        <w:rPr>
          <w:rStyle w:val="FootnoteReference"/>
          <w:noProof/>
          <w:lang w:val="en-IE"/>
        </w:rPr>
        <w:footnoteReference w:id="35"/>
      </w:r>
      <w:r w:rsidRPr="004B21CD">
        <w:rPr>
          <w:noProof/>
          <w:lang w:val="en-IE"/>
        </w:rPr>
        <w:t>, including electronic access for victims and defendants to ongoing cases, online access to first-instance court judgments, and machine readability of judgments</w:t>
      </w:r>
      <w:r w:rsidRPr="004B21CD">
        <w:rPr>
          <w:rStyle w:val="FootnoteReference"/>
          <w:noProof/>
          <w:lang w:val="en-IE"/>
        </w:rPr>
        <w:footnoteReference w:id="36"/>
      </w:r>
      <w:r w:rsidRPr="004B21CD">
        <w:rPr>
          <w:noProof/>
          <w:lang w:val="en-IE"/>
        </w:rPr>
        <w:t xml:space="preserve">. </w:t>
      </w:r>
    </w:p>
    <w:p w14:paraId="7915DD6A" w14:textId="03B36FD0" w:rsidR="00A24A13" w:rsidRPr="004B21CD" w:rsidRDefault="00A24A13" w:rsidP="00E643CA">
      <w:pPr>
        <w:pStyle w:val="Heading1"/>
        <w:numPr>
          <w:ilvl w:val="0"/>
          <w:numId w:val="40"/>
        </w:numPr>
        <w:spacing w:before="0"/>
        <w:rPr>
          <w:noProof/>
          <w:u w:val="single"/>
          <w:lang w:val="en-IE"/>
        </w:rPr>
      </w:pPr>
      <w:r w:rsidRPr="004B21CD">
        <w:rPr>
          <w:noProof/>
          <w:u w:val="single"/>
          <w:lang w:val="en-IE"/>
        </w:rPr>
        <w:t xml:space="preserve">Anti-Corruption Framework </w:t>
      </w:r>
    </w:p>
    <w:p w14:paraId="56DC1275" w14:textId="77777777" w:rsidR="00A24A13" w:rsidRPr="004B21CD" w:rsidRDefault="00A24A13" w:rsidP="000C3157">
      <w:pPr>
        <w:pStyle w:val="Heading2"/>
        <w:numPr>
          <w:ilvl w:val="0"/>
          <w:numId w:val="0"/>
        </w:numPr>
        <w:rPr>
          <w:b w:val="0"/>
          <w:noProof/>
          <w:lang w:eastAsia="fr-FR"/>
        </w:rPr>
      </w:pPr>
      <w:r w:rsidRPr="004B21CD">
        <w:rPr>
          <w:noProof/>
        </w:rPr>
        <w:t xml:space="preserve">The perception among experts, citizens and business executives is that Sweden is one of the least corrupt countries in the world. </w:t>
      </w:r>
      <w:r w:rsidRPr="004B21CD">
        <w:rPr>
          <w:b w:val="0"/>
          <w:noProof/>
        </w:rPr>
        <w:t>In the 2025 Corruption Perception Index by Transparency International, Sweden scores</w:t>
      </w:r>
      <w:r w:rsidRPr="004B21CD">
        <w:rPr>
          <w:noProof/>
        </w:rPr>
        <w:t xml:space="preserve"> </w:t>
      </w:r>
      <w:r w:rsidRPr="004B21CD">
        <w:rPr>
          <w:b w:val="0"/>
          <w:noProof/>
        </w:rPr>
        <w:t>80/100</w:t>
      </w:r>
      <w:r w:rsidRPr="004B21CD">
        <w:rPr>
          <w:b w:val="0"/>
          <w:noProof/>
          <w:lang w:eastAsia="fr-FR"/>
        </w:rPr>
        <w:t xml:space="preserve"> and ranks 3</w:t>
      </w:r>
      <w:r w:rsidRPr="004B21CD">
        <w:rPr>
          <w:b w:val="0"/>
          <w:noProof/>
          <w:vertAlign w:val="superscript"/>
          <w:lang w:eastAsia="fr-FR"/>
        </w:rPr>
        <w:t>rd</w:t>
      </w:r>
      <w:r w:rsidRPr="004B21CD">
        <w:rPr>
          <w:b w:val="0"/>
          <w:noProof/>
          <w:lang w:eastAsia="fr-FR"/>
        </w:rPr>
        <w:t xml:space="preserve"> in the European Union and 6</w:t>
      </w:r>
      <w:r w:rsidRPr="004B21CD">
        <w:rPr>
          <w:b w:val="0"/>
          <w:noProof/>
          <w:vertAlign w:val="superscript"/>
          <w:lang w:eastAsia="fr-FR"/>
        </w:rPr>
        <w:t>th</w:t>
      </w:r>
      <w:r w:rsidRPr="004B21CD">
        <w:rPr>
          <w:b w:val="0"/>
          <w:noProof/>
          <w:lang w:eastAsia="fr-FR"/>
        </w:rPr>
        <w:t xml:space="preserve"> globally</w:t>
      </w:r>
      <w:r w:rsidRPr="004B21CD">
        <w:rPr>
          <w:rStyle w:val="FootnoteReference"/>
          <w:b w:val="0"/>
          <w:noProof/>
          <w:lang w:eastAsia="fr-FR"/>
        </w:rPr>
        <w:footnoteReference w:id="37"/>
      </w:r>
      <w:r w:rsidRPr="004B21CD">
        <w:rPr>
          <w:b w:val="0"/>
          <w:noProof/>
          <w:lang w:eastAsia="fr-FR"/>
        </w:rPr>
        <w:t>. This perception has deteriorated over the past five years</w:t>
      </w:r>
      <w:r w:rsidRPr="004B21CD">
        <w:rPr>
          <w:rStyle w:val="FootnoteReference"/>
          <w:b w:val="0"/>
          <w:noProof/>
          <w:lang w:eastAsia="fr-FR"/>
        </w:rPr>
        <w:footnoteReference w:id="38"/>
      </w:r>
      <w:r w:rsidRPr="004B21CD">
        <w:rPr>
          <w:b w:val="0"/>
          <w:noProof/>
          <w:lang w:eastAsia="fr-FR"/>
        </w:rPr>
        <w:t>. The 2025 Special Eurobarometer on Corruption shows that 53% of respondents consider corruption widespread in their country (EU average 71%) and 13% of respondents feel personally affected by corruption in their daily lives (EU average 30%). As regards businesses, 36% of companies consider that corruption is widespread (EU average 65%) and 10% consider that corruption is a problem when doing business (EU average 37%). Furthermore, 34% of respondents find that there are enough successful prosecutions to deter people from corrupt practices (EU average 38%), while 56% of companies believe that people and businesses caught for bribing a senior official are appropriately punished (EU average 31%)</w:t>
      </w:r>
      <w:r w:rsidRPr="004B21CD">
        <w:rPr>
          <w:rStyle w:val="FootnoteReference"/>
          <w:b w:val="0"/>
          <w:noProof/>
          <w:lang w:eastAsia="fr-FR"/>
        </w:rPr>
        <w:footnoteReference w:id="39"/>
      </w:r>
      <w:r w:rsidRPr="004B21CD">
        <w:rPr>
          <w:b w:val="0"/>
          <w:noProof/>
          <w:lang w:eastAsia="fr-FR"/>
        </w:rPr>
        <w:t xml:space="preserve">. </w:t>
      </w:r>
    </w:p>
    <w:p w14:paraId="53BD0285" w14:textId="19A126A8" w:rsidR="00A24A13" w:rsidRPr="004B21CD" w:rsidRDefault="00A24A13" w:rsidP="00A24A13">
      <w:pPr>
        <w:rPr>
          <w:noProof/>
          <w:lang w:val="en-IE"/>
        </w:rPr>
      </w:pPr>
      <w:bookmarkStart w:id="9" w:name="_Hlk224805494"/>
      <w:r w:rsidRPr="004B21CD">
        <w:rPr>
          <w:b/>
          <w:noProof/>
          <w:lang w:val="en-IE"/>
        </w:rPr>
        <w:t>The</w:t>
      </w:r>
      <w:r w:rsidRPr="004B21CD">
        <w:rPr>
          <w:b/>
          <w:noProof/>
          <w:spacing w:val="-1"/>
          <w:lang w:val="en-IE"/>
        </w:rPr>
        <w:t xml:space="preserve"> </w:t>
      </w:r>
      <w:r w:rsidRPr="004B21CD">
        <w:rPr>
          <w:b/>
          <w:noProof/>
          <w:lang w:val="en-IE"/>
        </w:rPr>
        <w:t>2024-2027 Action plan against</w:t>
      </w:r>
      <w:r w:rsidRPr="004B21CD">
        <w:rPr>
          <w:b/>
          <w:noProof/>
          <w:spacing w:val="-1"/>
          <w:lang w:val="en-IE"/>
        </w:rPr>
        <w:t xml:space="preserve"> </w:t>
      </w:r>
      <w:r w:rsidRPr="004B21CD">
        <w:rPr>
          <w:b/>
          <w:noProof/>
          <w:lang w:val="en-IE"/>
        </w:rPr>
        <w:t>corruption and undue</w:t>
      </w:r>
      <w:r w:rsidRPr="004B21CD">
        <w:rPr>
          <w:b/>
          <w:noProof/>
          <w:spacing w:val="-1"/>
          <w:lang w:val="en-IE"/>
        </w:rPr>
        <w:t xml:space="preserve"> </w:t>
      </w:r>
      <w:r w:rsidRPr="004B21CD">
        <w:rPr>
          <w:b/>
          <w:noProof/>
          <w:lang w:val="en-IE"/>
        </w:rPr>
        <w:t>influence continues to be implemented, while the next strategic document is expected to be a comprehensive national anti-corruption strategy with measurable objectives and monitoring indicators</w:t>
      </w:r>
      <w:bookmarkEnd w:id="9"/>
      <w:r w:rsidRPr="004B21CD">
        <w:rPr>
          <w:b/>
          <w:noProof/>
          <w:lang w:val="en-IE"/>
        </w:rPr>
        <w:t xml:space="preserve">. </w:t>
      </w:r>
      <w:r w:rsidRPr="004B21CD">
        <w:rPr>
          <w:noProof/>
          <w:lang w:val="en-IE"/>
        </w:rPr>
        <w:t>The Action Plan represents the most comprehensive strategic anti-corruption document to date in Sweden</w:t>
      </w:r>
      <w:r w:rsidRPr="004B21CD">
        <w:rPr>
          <w:rStyle w:val="FootnoteReference"/>
          <w:noProof/>
          <w:lang w:val="en-IE"/>
        </w:rPr>
        <w:footnoteReference w:id="40"/>
      </w:r>
      <w:r w:rsidRPr="004B21CD">
        <w:rPr>
          <w:noProof/>
          <w:lang w:val="en-IE"/>
        </w:rPr>
        <w:t>. The forum of seven agencies</w:t>
      </w:r>
      <w:r w:rsidRPr="004B21CD">
        <w:rPr>
          <w:rStyle w:val="FootnoteReference"/>
          <w:noProof/>
          <w:lang w:val="en-IE"/>
        </w:rPr>
        <w:footnoteReference w:id="41"/>
      </w:r>
      <w:r w:rsidRPr="004B21CD">
        <w:rPr>
          <w:noProof/>
          <w:lang w:val="en-IE"/>
        </w:rPr>
        <w:t xml:space="preserve"> is now progressing with identifying areas not addressed in the current Action Plan. Following the 2025 OECD Integrity Review</w:t>
      </w:r>
      <w:r w:rsidRPr="004B21CD">
        <w:rPr>
          <w:rStyle w:val="FootnoteReference"/>
          <w:noProof/>
          <w:lang w:val="en-IE"/>
        </w:rPr>
        <w:footnoteReference w:id="42"/>
      </w:r>
      <w:r w:rsidRPr="004B21CD">
        <w:rPr>
          <w:noProof/>
          <w:lang w:val="en-IE"/>
        </w:rPr>
        <w:t>, the forum along with the Agency for Public Management have been tasked with drafting an end-of-term report and contributing to developing a new anti-corruption strategy. The new strategy is expected to include risk analysis, goal-setting, indicators and follow-up processes</w:t>
      </w:r>
      <w:r w:rsidRPr="004B21CD">
        <w:rPr>
          <w:rStyle w:val="FootnoteReference"/>
          <w:noProof/>
          <w:lang w:val="en-IE"/>
        </w:rPr>
        <w:footnoteReference w:id="43"/>
      </w:r>
      <w:r w:rsidRPr="004B21CD">
        <w:rPr>
          <w:noProof/>
          <w:lang w:val="en-IE"/>
        </w:rPr>
        <w:t>.</w:t>
      </w:r>
    </w:p>
    <w:p w14:paraId="1516975D" w14:textId="451C60FF" w:rsidR="00A24A13" w:rsidRPr="004B21CD" w:rsidRDefault="00A24A13" w:rsidP="00A24A13">
      <w:pPr>
        <w:rPr>
          <w:rStyle w:val="FootnoteReference"/>
          <w:noProof/>
        </w:rPr>
      </w:pPr>
      <w:r w:rsidRPr="004B21CD">
        <w:rPr>
          <w:b/>
          <w:bCs/>
          <w:noProof/>
        </w:rPr>
        <w:t>The Government proposed further legislative reforms to strengthen the criminal justice framework and improve accountability for corruption in line with international recommendations.</w:t>
      </w:r>
      <w:r w:rsidRPr="004B21CD">
        <w:rPr>
          <w:noProof/>
        </w:rPr>
        <w:t xml:space="preserve"> On 15 January 2026, the Government referred a draft bill</w:t>
      </w:r>
      <w:r w:rsidRPr="004B21CD">
        <w:rPr>
          <w:rStyle w:val="FootnoteReference"/>
          <w:noProof/>
        </w:rPr>
        <w:footnoteReference w:id="44"/>
      </w:r>
      <w:r w:rsidRPr="004B21CD">
        <w:rPr>
          <w:noProof/>
        </w:rPr>
        <w:t xml:space="preserve"> to the Council on Legislation, proposing increased penalties for bribery (including for its aggravated forms), gross breach of trust, gross fraud, gross embezzlement and trading in influence</w:t>
      </w:r>
      <w:r w:rsidRPr="004B21CD">
        <w:rPr>
          <w:rStyle w:val="FootnoteReference"/>
          <w:noProof/>
        </w:rPr>
        <w:footnoteReference w:id="45"/>
      </w:r>
      <w:r w:rsidRPr="004B21CD">
        <w:rPr>
          <w:noProof/>
        </w:rPr>
        <w:t>. The Government submitted the final bill to Parliament on 9 April 2026. The reform is complemented by another government bill</w:t>
      </w:r>
      <w:r w:rsidRPr="004B21CD">
        <w:rPr>
          <w:rStyle w:val="FootnoteReference"/>
          <w:noProof/>
        </w:rPr>
        <w:footnoteReference w:id="46"/>
      </w:r>
      <w:r w:rsidRPr="004B21CD">
        <w:rPr>
          <w:noProof/>
        </w:rPr>
        <w:t xml:space="preserve"> </w:t>
      </w:r>
      <w:r w:rsidR="0018191C">
        <w:rPr>
          <w:noProof/>
        </w:rPr>
        <w:t xml:space="preserve">also submitted to </w:t>
      </w:r>
      <w:r w:rsidRPr="004B21CD">
        <w:rPr>
          <w:noProof/>
        </w:rPr>
        <w:t>Parliament</w:t>
      </w:r>
      <w:r w:rsidR="009E3135">
        <w:rPr>
          <w:noProof/>
        </w:rPr>
        <w:t xml:space="preserve"> on the same day</w:t>
      </w:r>
      <w:r w:rsidRPr="004B21CD">
        <w:rPr>
          <w:rStyle w:val="FootnoteReference"/>
          <w:noProof/>
        </w:rPr>
        <w:footnoteReference w:id="47"/>
      </w:r>
      <w:r w:rsidRPr="004B21CD">
        <w:rPr>
          <w:i/>
          <w:iCs/>
          <w:noProof/>
        </w:rPr>
        <w:t>,</w:t>
      </w:r>
      <w:r w:rsidRPr="004B21CD">
        <w:rPr>
          <w:noProof/>
        </w:rPr>
        <w:t xml:space="preserve"> proposing a criminal offense for abuse of public office and an expanded liability of public officials for intentionally misusing their official power. The bill also aims to address corruption risks, infiltration and undue influence, particularly from organised crime. The Government reported that the proposed amendments will help align Sweden with international standards</w:t>
      </w:r>
      <w:r w:rsidRPr="004B21CD">
        <w:rPr>
          <w:rStyle w:val="FootnoteReference"/>
          <w:noProof/>
        </w:rPr>
        <w:footnoteReference w:id="48"/>
      </w:r>
      <w:r w:rsidRPr="004B21CD">
        <w:rPr>
          <w:noProof/>
        </w:rPr>
        <w:t>, as they address a number of legislative gaps</w:t>
      </w:r>
      <w:r w:rsidRPr="004B21CD">
        <w:rPr>
          <w:rStyle w:val="FootnoteReference"/>
          <w:noProof/>
        </w:rPr>
        <w:footnoteReference w:id="49"/>
      </w:r>
      <w:r w:rsidRPr="004B21CD">
        <w:rPr>
          <w:noProof/>
        </w:rPr>
        <w:t>.</w:t>
      </w:r>
      <w:r w:rsidRPr="004B21CD">
        <w:rPr>
          <w:rStyle w:val="FootnoteReference"/>
          <w:noProof/>
        </w:rPr>
        <w:t>.</w:t>
      </w:r>
      <w:bookmarkStart w:id="10" w:name="_Hlk225331875"/>
    </w:p>
    <w:p w14:paraId="1EB9859B" w14:textId="4014BE70" w:rsidR="00A24A13" w:rsidRPr="004B21CD" w:rsidRDefault="00A24A13" w:rsidP="00A24A13">
      <w:pPr>
        <w:rPr>
          <w:noProof/>
          <w:lang w:val="en-IE"/>
        </w:rPr>
      </w:pPr>
      <w:bookmarkStart w:id="11" w:name="_Hlk223598720"/>
      <w:bookmarkEnd w:id="10"/>
      <w:r w:rsidRPr="004B21CD">
        <w:rPr>
          <w:b/>
          <w:bCs/>
          <w:noProof/>
          <w:lang w:val="en-IE"/>
        </w:rPr>
        <w:t xml:space="preserve">There has been some progress </w:t>
      </w:r>
      <w:r w:rsidRPr="004B21CD" w:rsidDel="006067C6">
        <w:rPr>
          <w:b/>
          <w:bCs/>
          <w:noProof/>
          <w:lang w:val="en-IE"/>
        </w:rPr>
        <w:t xml:space="preserve">to address </w:t>
      </w:r>
      <w:r w:rsidRPr="004B21CD">
        <w:rPr>
          <w:b/>
          <w:bCs/>
          <w:noProof/>
          <w:lang w:val="en-IE"/>
        </w:rPr>
        <w:t>the recommendation to strengthen the fight against foreign bribery</w:t>
      </w:r>
      <w:r w:rsidRPr="004B21CD">
        <w:rPr>
          <w:rStyle w:val="FootnoteReference"/>
          <w:b/>
          <w:bCs/>
          <w:noProof/>
          <w:lang w:val="en-IE"/>
        </w:rPr>
        <w:footnoteReference w:id="50"/>
      </w:r>
      <w:r w:rsidRPr="004B21CD">
        <w:rPr>
          <w:b/>
          <w:bCs/>
          <w:noProof/>
          <w:lang w:val="en-IE"/>
        </w:rPr>
        <w:t xml:space="preserve">. </w:t>
      </w:r>
      <w:bookmarkEnd w:id="11"/>
      <w:r w:rsidRPr="004B21CD">
        <w:rPr>
          <w:noProof/>
          <w:lang w:val="en-IE"/>
        </w:rPr>
        <w:t>The aforementioned</w:t>
      </w:r>
      <w:r w:rsidR="00F32703">
        <w:rPr>
          <w:noProof/>
          <w:lang w:val="en-IE"/>
        </w:rPr>
        <w:t xml:space="preserve"> </w:t>
      </w:r>
      <w:r w:rsidR="00B423A8">
        <w:rPr>
          <w:noProof/>
          <w:lang w:val="en-IE"/>
        </w:rPr>
        <w:t>government</w:t>
      </w:r>
      <w:r w:rsidRPr="004B21CD">
        <w:rPr>
          <w:noProof/>
          <w:lang w:val="en-IE"/>
        </w:rPr>
        <w:t xml:space="preserve"> bill</w:t>
      </w:r>
      <w:r w:rsidR="00967EEC">
        <w:rPr>
          <w:noProof/>
          <w:lang w:val="en-IE"/>
        </w:rPr>
        <w:t>s</w:t>
      </w:r>
      <w:r w:rsidRPr="004B21CD">
        <w:rPr>
          <w:rStyle w:val="FootnoteReference"/>
          <w:noProof/>
          <w:lang w:val="en-IE"/>
        </w:rPr>
        <w:footnoteReference w:id="51"/>
      </w:r>
      <w:r w:rsidRPr="004B21CD">
        <w:rPr>
          <w:noProof/>
          <w:lang w:val="en-IE"/>
        </w:rPr>
        <w:t xml:space="preserve">, submitted to the Parliament on 9 April 2026, contain several measures addressing </w:t>
      </w:r>
      <w:r w:rsidR="00CF3BFE">
        <w:rPr>
          <w:noProof/>
          <w:lang w:val="en-IE"/>
        </w:rPr>
        <w:t xml:space="preserve">sanctions of </w:t>
      </w:r>
      <w:r w:rsidRPr="004B21CD">
        <w:rPr>
          <w:noProof/>
          <w:lang w:val="en-IE"/>
        </w:rPr>
        <w:t xml:space="preserve">bribery, </w:t>
      </w:r>
      <w:r w:rsidR="006335CC" w:rsidRPr="006335CC">
        <w:rPr>
          <w:noProof/>
          <w:lang w:val="en-IE"/>
        </w:rPr>
        <w:t>as well as related offences and the introduction of a new corruption offence</w:t>
      </w:r>
      <w:r w:rsidR="001F4EBF">
        <w:rPr>
          <w:noProof/>
          <w:lang w:val="en-IE"/>
        </w:rPr>
        <w:t>.</w:t>
      </w:r>
      <w:r w:rsidR="006335CC" w:rsidRPr="006335CC">
        <w:rPr>
          <w:noProof/>
          <w:lang w:val="en-IE"/>
        </w:rPr>
        <w:t xml:space="preserve"> </w:t>
      </w:r>
      <w:r w:rsidR="001F4EBF">
        <w:rPr>
          <w:noProof/>
          <w:lang w:val="en-IE"/>
        </w:rPr>
        <w:t>S</w:t>
      </w:r>
      <w:r w:rsidRPr="004B21CD">
        <w:rPr>
          <w:noProof/>
          <w:lang w:val="en-IE"/>
        </w:rPr>
        <w:t xml:space="preserve">ome of </w:t>
      </w:r>
      <w:r w:rsidR="001F4EBF">
        <w:rPr>
          <w:noProof/>
          <w:lang w:val="en-IE"/>
        </w:rPr>
        <w:t>these measures</w:t>
      </w:r>
      <w:r w:rsidRPr="004B21CD">
        <w:rPr>
          <w:noProof/>
          <w:lang w:val="en-IE"/>
        </w:rPr>
        <w:t xml:space="preserve"> are relevant for the fight against foreign bribery. </w:t>
      </w:r>
      <w:r w:rsidR="003A50E2" w:rsidRPr="003A50E2">
        <w:rPr>
          <w:noProof/>
          <w:lang w:val="en-IE"/>
        </w:rPr>
        <w:t xml:space="preserve">The </w:t>
      </w:r>
      <w:r w:rsidR="00063F26">
        <w:rPr>
          <w:noProof/>
          <w:lang w:val="en-IE"/>
        </w:rPr>
        <w:t>C</w:t>
      </w:r>
      <w:r w:rsidR="003A50E2" w:rsidRPr="003A50E2">
        <w:rPr>
          <w:noProof/>
          <w:lang w:val="en-IE"/>
        </w:rPr>
        <w:t xml:space="preserve">ommittee </w:t>
      </w:r>
      <w:r w:rsidR="00063F26">
        <w:rPr>
          <w:noProof/>
          <w:lang w:val="en-IE"/>
        </w:rPr>
        <w:t>of Inquiry</w:t>
      </w:r>
      <w:r w:rsidR="001C6131">
        <w:rPr>
          <w:rStyle w:val="FootnoteReference"/>
          <w:noProof/>
          <w:lang w:val="en-IE"/>
        </w:rPr>
        <w:footnoteReference w:id="52"/>
      </w:r>
      <w:r w:rsidR="00063F26">
        <w:rPr>
          <w:noProof/>
          <w:lang w:val="en-IE"/>
        </w:rPr>
        <w:t xml:space="preserve"> </w:t>
      </w:r>
      <w:r w:rsidR="003A50E2" w:rsidRPr="003A50E2">
        <w:rPr>
          <w:noProof/>
          <w:lang w:val="en-IE"/>
        </w:rPr>
        <w:t>recommends</w:t>
      </w:r>
      <w:r w:rsidR="00C43172">
        <w:rPr>
          <w:noProof/>
          <w:lang w:val="en-IE"/>
        </w:rPr>
        <w:t xml:space="preserve"> in its report</w:t>
      </w:r>
      <w:r w:rsidR="003A50E2" w:rsidRPr="003A50E2">
        <w:rPr>
          <w:noProof/>
          <w:lang w:val="en-IE"/>
        </w:rPr>
        <w:t xml:space="preserve">, among other things, introducing </w:t>
      </w:r>
      <w:r w:rsidR="00D6681E">
        <w:rPr>
          <w:noProof/>
          <w:lang w:val="en-IE"/>
        </w:rPr>
        <w:t>a</w:t>
      </w:r>
      <w:r w:rsidRPr="004B21CD">
        <w:rPr>
          <w:noProof/>
          <w:lang w:val="en-IE"/>
        </w:rPr>
        <w:t xml:space="preserve"> new offence of negligent financing of corruption, aimed at addressing corporate risk-taking</w:t>
      </w:r>
      <w:r w:rsidRPr="004B21CD">
        <w:rPr>
          <w:rStyle w:val="FootnoteReference"/>
          <w:noProof/>
          <w:lang w:val="en-IE"/>
        </w:rPr>
        <w:footnoteReference w:id="53"/>
      </w:r>
      <w:r w:rsidR="0093759E">
        <w:rPr>
          <w:noProof/>
          <w:lang w:val="en-IE"/>
        </w:rPr>
        <w:t xml:space="preserve"> and making it easier to bring actions on </w:t>
      </w:r>
      <w:r w:rsidRPr="004B21CD">
        <w:rPr>
          <w:noProof/>
          <w:lang w:val="en-IE"/>
        </w:rPr>
        <w:t>corporate fine</w:t>
      </w:r>
      <w:r w:rsidR="006C400D">
        <w:rPr>
          <w:noProof/>
          <w:lang w:val="en-IE"/>
        </w:rPr>
        <w:t>s, and</w:t>
      </w:r>
      <w:r w:rsidRPr="004B21CD">
        <w:rPr>
          <w:noProof/>
          <w:lang w:val="en-IE"/>
        </w:rPr>
        <w:t xml:space="preserve"> abolish</w:t>
      </w:r>
      <w:r w:rsidR="006C400D">
        <w:rPr>
          <w:noProof/>
          <w:lang w:val="en-IE"/>
        </w:rPr>
        <w:t>ing</w:t>
      </w:r>
      <w:r w:rsidRPr="004B21CD">
        <w:rPr>
          <w:noProof/>
          <w:lang w:val="en-IE"/>
        </w:rPr>
        <w:t xml:space="preserve"> the requirement of dual criminality for corruption offences committed abroad,</w:t>
      </w:r>
      <w:r w:rsidRPr="004B21CD">
        <w:rPr>
          <w:noProof/>
        </w:rPr>
        <w:t xml:space="preserve"> w</w:t>
      </w:r>
      <w:r w:rsidRPr="004B21CD">
        <w:rPr>
          <w:noProof/>
          <w:lang w:val="en-IE"/>
        </w:rPr>
        <w:t xml:space="preserve">hich could facilitate the prosecution of foreign bribery cases. Stakeholders consider that the </w:t>
      </w:r>
      <w:r w:rsidR="00D569B1">
        <w:rPr>
          <w:noProof/>
          <w:lang w:val="en-IE"/>
        </w:rPr>
        <w:t>recommended</w:t>
      </w:r>
      <w:r w:rsidRPr="004B21CD">
        <w:rPr>
          <w:noProof/>
          <w:lang w:val="en-IE"/>
        </w:rPr>
        <w:t xml:space="preserve"> changes represent a step forward, although the bill does not expand the definition of foreign bribery, nor introduce criminal liability for companies</w:t>
      </w:r>
      <w:r w:rsidRPr="004B21CD">
        <w:rPr>
          <w:rStyle w:val="FootnoteReference"/>
          <w:noProof/>
          <w:lang w:val="en-IE"/>
        </w:rPr>
        <w:footnoteReference w:id="54"/>
      </w:r>
      <w:r w:rsidRPr="004B21CD">
        <w:rPr>
          <w:noProof/>
          <w:lang w:val="en-IE"/>
        </w:rPr>
        <w:t>.</w:t>
      </w:r>
      <w:r w:rsidRPr="004B21CD">
        <w:rPr>
          <w:b/>
          <w:bCs/>
          <w:noProof/>
          <w:lang w:val="en-IE"/>
        </w:rPr>
        <w:t xml:space="preserve"> </w:t>
      </w:r>
      <w:r w:rsidR="0050569F" w:rsidRPr="00F32703">
        <w:rPr>
          <w:noProof/>
          <w:lang w:val="en-IE"/>
        </w:rPr>
        <w:t xml:space="preserve">The recommendations of the </w:t>
      </w:r>
      <w:r w:rsidR="0050569F">
        <w:rPr>
          <w:noProof/>
          <w:lang w:val="en-IE"/>
        </w:rPr>
        <w:t>C</w:t>
      </w:r>
      <w:r w:rsidR="0050569F" w:rsidRPr="00F32703">
        <w:rPr>
          <w:noProof/>
          <w:lang w:val="en-IE"/>
        </w:rPr>
        <w:t>ommittee, which have been subject to consultation with relevant stakeholders, are now being considered within the Government Offices</w:t>
      </w:r>
      <w:r w:rsidR="009733AE">
        <w:rPr>
          <w:rStyle w:val="FootnoteReference"/>
          <w:noProof/>
          <w:lang w:val="en-IE"/>
        </w:rPr>
        <w:footnoteReference w:id="55"/>
      </w:r>
      <w:r w:rsidR="0050569F" w:rsidRPr="00F32703">
        <w:rPr>
          <w:noProof/>
          <w:lang w:val="en-IE"/>
        </w:rPr>
        <w:t>.</w:t>
      </w:r>
      <w:r w:rsidR="0050569F" w:rsidRPr="0050569F">
        <w:rPr>
          <w:b/>
          <w:bCs/>
          <w:noProof/>
          <w:lang w:val="en-IE"/>
        </w:rPr>
        <w:t xml:space="preserve"> </w:t>
      </w:r>
      <w:r w:rsidRPr="004B21CD">
        <w:rPr>
          <w:noProof/>
          <w:lang w:val="en-IE"/>
        </w:rPr>
        <w:t>There has been no increase in reported cases of foreign bribery, with one investigation currently ongoing</w:t>
      </w:r>
      <w:r w:rsidRPr="004B21CD">
        <w:rPr>
          <w:rStyle w:val="FootnoteReference"/>
          <w:noProof/>
          <w:lang w:val="en-IE"/>
        </w:rPr>
        <w:footnoteReference w:id="56"/>
      </w:r>
      <w:r w:rsidRPr="004B21CD">
        <w:rPr>
          <w:noProof/>
          <w:lang w:val="en-IE"/>
        </w:rPr>
        <w:t xml:space="preserve">. Overall, </w:t>
      </w:r>
      <w:r w:rsidR="005F352C">
        <w:rPr>
          <w:noProof/>
          <w:lang w:val="en-IE"/>
        </w:rPr>
        <w:t xml:space="preserve">while </w:t>
      </w:r>
      <w:r w:rsidR="00B93B62">
        <w:rPr>
          <w:noProof/>
          <w:lang w:val="en-IE"/>
        </w:rPr>
        <w:t xml:space="preserve">there has been no increase </w:t>
      </w:r>
      <w:r w:rsidR="005215A6">
        <w:rPr>
          <w:noProof/>
          <w:lang w:val="en-IE"/>
        </w:rPr>
        <w:t xml:space="preserve">in investigating and prosecuting foreign bribery cases, </w:t>
      </w:r>
      <w:r w:rsidRPr="004B21CD">
        <w:rPr>
          <w:noProof/>
          <w:lang w:val="en-IE"/>
        </w:rPr>
        <w:t xml:space="preserve">the </w:t>
      </w:r>
      <w:r w:rsidR="00600787">
        <w:rPr>
          <w:noProof/>
          <w:lang w:val="en-IE"/>
        </w:rPr>
        <w:t xml:space="preserve">government </w:t>
      </w:r>
      <w:r w:rsidRPr="004B21CD">
        <w:rPr>
          <w:noProof/>
          <w:lang w:val="en-IE"/>
        </w:rPr>
        <w:t>bill</w:t>
      </w:r>
      <w:r w:rsidR="00600787">
        <w:rPr>
          <w:noProof/>
          <w:lang w:val="en-IE"/>
        </w:rPr>
        <w:t>s</w:t>
      </w:r>
      <w:r w:rsidRPr="004B21CD">
        <w:rPr>
          <w:noProof/>
          <w:lang w:val="en-IE"/>
        </w:rPr>
        <w:t xml:space="preserve"> </w:t>
      </w:r>
      <w:r w:rsidR="00600787">
        <w:rPr>
          <w:noProof/>
          <w:lang w:val="en-IE"/>
        </w:rPr>
        <w:t>approved by Parliament</w:t>
      </w:r>
      <w:r w:rsidR="00EA1514">
        <w:rPr>
          <w:noProof/>
          <w:lang w:val="en-IE"/>
        </w:rPr>
        <w:t xml:space="preserve"> </w:t>
      </w:r>
      <w:r w:rsidRPr="004B21CD">
        <w:rPr>
          <w:noProof/>
          <w:lang w:val="en-IE"/>
        </w:rPr>
        <w:t>introduce some elements relevant for the fight against foreign bribery, and</w:t>
      </w:r>
      <w:r w:rsidR="00651093">
        <w:rPr>
          <w:noProof/>
          <w:lang w:val="en-IE"/>
        </w:rPr>
        <w:t xml:space="preserve"> the outstanding recommendation</w:t>
      </w:r>
      <w:r w:rsidR="00BF3BFB">
        <w:rPr>
          <w:noProof/>
          <w:lang w:val="en-IE"/>
        </w:rPr>
        <w:t>s</w:t>
      </w:r>
      <w:r w:rsidR="00651093">
        <w:rPr>
          <w:noProof/>
          <w:lang w:val="en-IE"/>
        </w:rPr>
        <w:t xml:space="preserve"> </w:t>
      </w:r>
      <w:r w:rsidR="00BF3BFB">
        <w:rPr>
          <w:noProof/>
          <w:lang w:val="en-IE"/>
        </w:rPr>
        <w:t xml:space="preserve">of the Committee on further legislative action are under </w:t>
      </w:r>
      <w:r w:rsidR="00DF3C0E">
        <w:rPr>
          <w:noProof/>
          <w:lang w:val="en-IE"/>
        </w:rPr>
        <w:t>consideration.</w:t>
      </w:r>
      <w:r w:rsidRPr="004B21CD">
        <w:rPr>
          <w:noProof/>
          <w:lang w:val="en-IE"/>
        </w:rPr>
        <w:t xml:space="preserve"> Therefore, there has been some progress on this recommendation.</w:t>
      </w:r>
    </w:p>
    <w:p w14:paraId="4E475556" w14:textId="06205AB0" w:rsidR="00A24A13" w:rsidRPr="004B21CD" w:rsidRDefault="00A24A13" w:rsidP="00A24A13">
      <w:pPr>
        <w:rPr>
          <w:noProof/>
        </w:rPr>
      </w:pPr>
      <w:r w:rsidRPr="004B21CD">
        <w:rPr>
          <w:b/>
          <w:bCs/>
          <w:noProof/>
        </w:rPr>
        <w:t>The investigation and prosecution of corruption are overall effective, while certain risks, including underreporting and new corruption modalities, continue</w:t>
      </w:r>
      <w:r w:rsidRPr="004B21CD">
        <w:rPr>
          <w:rStyle w:val="FootnoteReference"/>
          <w:b/>
          <w:bCs/>
          <w:noProof/>
        </w:rPr>
        <w:footnoteReference w:id="57"/>
      </w:r>
      <w:r w:rsidRPr="004B21CD">
        <w:rPr>
          <w:b/>
          <w:bCs/>
          <w:noProof/>
        </w:rPr>
        <w:t xml:space="preserve"> to be monitored by law enforcement.</w:t>
      </w:r>
      <w:r w:rsidRPr="004B21CD">
        <w:rPr>
          <w:noProof/>
        </w:rPr>
        <w:t xml:space="preserve"> Resources for the </w:t>
      </w:r>
      <w:r w:rsidR="00431C61">
        <w:rPr>
          <w:noProof/>
        </w:rPr>
        <w:t xml:space="preserve">Swedish </w:t>
      </w:r>
      <w:r w:rsidRPr="004B21CD">
        <w:rPr>
          <w:noProof/>
        </w:rPr>
        <w:t xml:space="preserve">Police </w:t>
      </w:r>
      <w:r w:rsidR="00431C61">
        <w:rPr>
          <w:noProof/>
        </w:rPr>
        <w:t xml:space="preserve">Authority’s </w:t>
      </w:r>
      <w:r w:rsidRPr="004B21CD">
        <w:rPr>
          <w:noProof/>
        </w:rPr>
        <w:t>National Anti-Corruption Unit (NACU) are reported as sufficient for the current workload. Efforts are underway to broaden NACU’s investigative scope beyond pure bribery cases, to include professional misconduct, embezzlement, fraud, and the misuse of confidential information</w:t>
      </w:r>
      <w:r w:rsidRPr="004B21CD">
        <w:rPr>
          <w:rStyle w:val="FootnoteReference"/>
          <w:noProof/>
        </w:rPr>
        <w:footnoteReference w:id="58"/>
      </w:r>
      <w:r w:rsidRPr="004B21CD">
        <w:rPr>
          <w:noProof/>
        </w:rPr>
        <w:t>. According to the National Council for Crime Prevention, in 2025</w:t>
      </w:r>
      <w:r w:rsidR="00DF505B">
        <w:rPr>
          <w:noProof/>
        </w:rPr>
        <w:t>,</w:t>
      </w:r>
      <w:r w:rsidRPr="004B21CD">
        <w:rPr>
          <w:noProof/>
        </w:rPr>
        <w:t xml:space="preserve"> active bribery was reported 18</w:t>
      </w:r>
      <w:r w:rsidR="004E0ED6">
        <w:rPr>
          <w:noProof/>
        </w:rPr>
        <w:t>4</w:t>
      </w:r>
      <w:r w:rsidRPr="004B21CD">
        <w:rPr>
          <w:noProof/>
        </w:rPr>
        <w:t xml:space="preserve"> times</w:t>
      </w:r>
      <w:r w:rsidR="00DF505B">
        <w:rPr>
          <w:noProof/>
        </w:rPr>
        <w:t>,</w:t>
      </w:r>
      <w:r w:rsidRPr="004B21CD">
        <w:rPr>
          <w:noProof/>
        </w:rPr>
        <w:t xml:space="preserve"> passive bribery </w:t>
      </w:r>
      <w:r w:rsidR="004E0ED6">
        <w:rPr>
          <w:noProof/>
        </w:rPr>
        <w:t>202</w:t>
      </w:r>
      <w:r w:rsidRPr="004B21CD">
        <w:rPr>
          <w:noProof/>
        </w:rPr>
        <w:t xml:space="preserve"> times</w:t>
      </w:r>
      <w:r w:rsidR="00DF505B">
        <w:rPr>
          <w:noProof/>
        </w:rPr>
        <w:t>,</w:t>
      </w:r>
      <w:r w:rsidRPr="004B21CD">
        <w:rPr>
          <w:noProof/>
        </w:rPr>
        <w:t xml:space="preserve"> and trading in influence and negligent financing of bribery 18 times</w:t>
      </w:r>
      <w:r w:rsidRPr="004B21CD">
        <w:rPr>
          <w:rStyle w:val="FootnoteReference"/>
          <w:noProof/>
        </w:rPr>
        <w:footnoteReference w:id="59"/>
      </w:r>
      <w:r w:rsidRPr="004B21CD">
        <w:rPr>
          <w:noProof/>
        </w:rPr>
        <w:t>. No high-level corruption cases were reported. Between 1 November 2024 and 1 November 2025, 99 corruption-related cases</w:t>
      </w:r>
      <w:r w:rsidRPr="004B21CD">
        <w:rPr>
          <w:rStyle w:val="FootnoteReference"/>
          <w:noProof/>
        </w:rPr>
        <w:footnoteReference w:id="60"/>
      </w:r>
      <w:r w:rsidRPr="004B21CD">
        <w:rPr>
          <w:noProof/>
        </w:rPr>
        <w:t xml:space="preserve"> were investigated by the Swedish Police</w:t>
      </w:r>
      <w:r w:rsidR="00244B16">
        <w:rPr>
          <w:noProof/>
        </w:rPr>
        <w:t xml:space="preserve"> </w:t>
      </w:r>
      <w:r w:rsidR="00CC1C1A">
        <w:rPr>
          <w:noProof/>
        </w:rPr>
        <w:t>Authority</w:t>
      </w:r>
      <w:r w:rsidRPr="004B21CD">
        <w:rPr>
          <w:noProof/>
        </w:rPr>
        <w:t>, compared to 105 cases in 2024</w:t>
      </w:r>
      <w:r w:rsidRPr="004B21CD">
        <w:rPr>
          <w:rStyle w:val="FootnoteReference"/>
          <w:noProof/>
        </w:rPr>
        <w:footnoteReference w:id="61"/>
      </w:r>
      <w:r w:rsidRPr="004B21CD">
        <w:rPr>
          <w:noProof/>
        </w:rPr>
        <w:t>. 13 prosecutions were initiated in 2025, resulting in 13 judgments in the same year</w:t>
      </w:r>
      <w:r w:rsidRPr="004B21CD">
        <w:rPr>
          <w:rStyle w:val="FootnoteReference"/>
          <w:noProof/>
        </w:rPr>
        <w:footnoteReference w:id="62"/>
      </w:r>
      <w:r w:rsidRPr="004B21CD">
        <w:rPr>
          <w:noProof/>
        </w:rPr>
        <w:t>. The Swedish Police</w:t>
      </w:r>
      <w:r w:rsidR="00B7257D">
        <w:rPr>
          <w:noProof/>
        </w:rPr>
        <w:t xml:space="preserve"> Authority</w:t>
      </w:r>
      <w:r w:rsidRPr="004B21CD">
        <w:rPr>
          <w:noProof/>
        </w:rPr>
        <w:t xml:space="preserve"> estimates that many cases continue to go unreported, especially at the regional and municipal level. Links between bribery and other offenses such as violence, threats, extortion, and conflicts of interest are increasingly recognised</w:t>
      </w:r>
      <w:r w:rsidRPr="004B21CD">
        <w:rPr>
          <w:rStyle w:val="FootnoteReference"/>
          <w:noProof/>
        </w:rPr>
        <w:footnoteReference w:id="63"/>
      </w:r>
      <w:r w:rsidRPr="004B21CD">
        <w:rPr>
          <w:noProof/>
        </w:rPr>
        <w:t>.</w:t>
      </w:r>
      <w:r w:rsidRPr="004B21CD">
        <w:rPr>
          <w:rFonts w:eastAsia="Calibri"/>
          <w:noProof/>
          <w:lang w:val="en-IE"/>
        </w:rPr>
        <w:t xml:space="preserve"> </w:t>
      </w:r>
      <w:r w:rsidRPr="004B21CD">
        <w:rPr>
          <w:noProof/>
        </w:rPr>
        <w:t>The Financial Intelligence Centre, set up in April 2025, has so far achieved results on asset confiscations</w:t>
      </w:r>
      <w:r w:rsidRPr="004B21CD">
        <w:rPr>
          <w:rStyle w:val="FootnoteReference"/>
          <w:noProof/>
        </w:rPr>
        <w:footnoteReference w:id="64"/>
      </w:r>
      <w:r w:rsidRPr="004B21CD">
        <w:rPr>
          <w:noProof/>
        </w:rPr>
        <w:t>, while its impact on corruption cases is expected to materialise as expertise increases</w:t>
      </w:r>
      <w:r w:rsidRPr="004B21CD">
        <w:rPr>
          <w:rStyle w:val="FootnoteReference"/>
          <w:noProof/>
        </w:rPr>
        <w:footnoteReference w:id="65"/>
      </w:r>
      <w:r w:rsidRPr="004B21CD">
        <w:rPr>
          <w:noProof/>
        </w:rPr>
        <w:t>. There was no corruption-related case handled by the EPPO in Sweden in 2025</w:t>
      </w:r>
      <w:r w:rsidRPr="004B21CD">
        <w:rPr>
          <w:rStyle w:val="FootnoteReference"/>
          <w:noProof/>
        </w:rPr>
        <w:footnoteReference w:id="66"/>
      </w:r>
      <w:r w:rsidRPr="004B21CD">
        <w:rPr>
          <w:noProof/>
        </w:rPr>
        <w:t xml:space="preserve">. </w:t>
      </w:r>
      <w:r w:rsidRPr="004B21CD" w:rsidDel="004E27DE">
        <w:rPr>
          <w:noProof/>
        </w:rPr>
        <w:t xml:space="preserve"> </w:t>
      </w:r>
    </w:p>
    <w:p w14:paraId="21A1AFC4" w14:textId="77777777" w:rsidR="00A24A13" w:rsidRPr="004B21CD" w:rsidRDefault="00A24A13" w:rsidP="00A24A13">
      <w:pPr>
        <w:rPr>
          <w:noProof/>
          <w:lang w:val="en-IE"/>
        </w:rPr>
      </w:pPr>
      <w:r w:rsidRPr="004B21CD">
        <w:rPr>
          <w:rFonts w:eastAsia="Calibri"/>
          <w:b/>
          <w:noProof/>
          <w:lang w:val="en-IE"/>
        </w:rPr>
        <w:t xml:space="preserve">Measures are being taken to address the risk of undue influence in public administration. </w:t>
      </w:r>
      <w:r w:rsidRPr="004B21CD">
        <w:rPr>
          <w:rFonts w:eastAsia="Calibri"/>
          <w:noProof/>
          <w:lang w:val="en-IE"/>
        </w:rPr>
        <w:t>There is an increased awareness of the risks connected with infiltration of the public service by organised crime through corruption. On 1 July 2025, the Local Government Act introduced obligations for municipalities and regions to protect local and regional politicians from threats and violence, helping reduce the risk of undue influence. In addition, a training programme on undue influence in the public administration is now available online</w:t>
      </w:r>
      <w:r w:rsidRPr="004B21CD">
        <w:rPr>
          <w:rStyle w:val="FootnoteReference"/>
          <w:rFonts w:eastAsia="Calibri"/>
          <w:noProof/>
          <w:lang w:val="en-IE"/>
        </w:rPr>
        <w:footnoteReference w:id="67"/>
      </w:r>
      <w:r w:rsidRPr="004B21CD">
        <w:rPr>
          <w:rFonts w:eastAsia="Calibri"/>
          <w:noProof/>
          <w:lang w:val="en-IE"/>
        </w:rPr>
        <w:t>.</w:t>
      </w:r>
    </w:p>
    <w:p w14:paraId="52E0BEC7" w14:textId="3CEC678E" w:rsidR="00A24A13" w:rsidRPr="004B21CD" w:rsidRDefault="00A24A13" w:rsidP="00A24A13">
      <w:pPr>
        <w:rPr>
          <w:noProof/>
          <w:lang w:val="en-IE"/>
        </w:rPr>
      </w:pPr>
      <w:r w:rsidRPr="004B21CD">
        <w:rPr>
          <w:b/>
          <w:bCs/>
          <w:noProof/>
          <w:lang w:val="en-IE"/>
        </w:rPr>
        <w:t xml:space="preserve">While there are no plans to revise the asset declaration regime for public officials, the Government is reviewing relevant guidelines documents and reflecting on a reform of the conflicts of interest rules. </w:t>
      </w:r>
      <w:r w:rsidRPr="004B21CD">
        <w:rPr>
          <w:noProof/>
          <w:lang w:val="en-IE"/>
        </w:rPr>
        <w:t>The Government is analysing</w:t>
      </w:r>
      <w:r w:rsidRPr="004B21CD">
        <w:rPr>
          <w:rStyle w:val="FootnoteReference"/>
          <w:noProof/>
          <w:lang w:val="en-IE"/>
        </w:rPr>
        <w:footnoteReference w:id="68"/>
      </w:r>
      <w:r w:rsidRPr="004B21CD">
        <w:rPr>
          <w:noProof/>
          <w:lang w:val="en-IE"/>
        </w:rPr>
        <w:t xml:space="preserve"> the OECD 2025 Integrity Review, which urges Sweden to clarify and harmonise conflicts of interest rules. It also calls for strengthened asset and interest declaration requirements and central oversight so that conflicts can be more effectively detected, disclosed, and managed across the public sector</w:t>
      </w:r>
      <w:r w:rsidRPr="004B21CD">
        <w:rPr>
          <w:rStyle w:val="FootnoteReference"/>
          <w:noProof/>
          <w:lang w:val="en-IE"/>
        </w:rPr>
        <w:footnoteReference w:id="69"/>
      </w:r>
      <w:r w:rsidRPr="004B21CD">
        <w:rPr>
          <w:noProof/>
          <w:lang w:val="en-IE"/>
        </w:rPr>
        <w:t>.</w:t>
      </w:r>
      <w:r w:rsidRPr="004B21CD" w:rsidDel="0074514D">
        <w:rPr>
          <w:noProof/>
          <w:lang w:val="en-IE"/>
        </w:rPr>
        <w:t xml:space="preserve"> </w:t>
      </w:r>
      <w:r w:rsidRPr="004B21CD">
        <w:rPr>
          <w:noProof/>
          <w:lang w:val="en-IE"/>
        </w:rPr>
        <w:t xml:space="preserve">Guidelines on the holding of financial instruments were revised in December 2025 to clarify conflicts of interest risks and provide clearer support for </w:t>
      </w:r>
      <w:r w:rsidR="00C037FB">
        <w:rPr>
          <w:noProof/>
          <w:lang w:val="en-IE"/>
        </w:rPr>
        <w:t xml:space="preserve">ministers and state secretaries </w:t>
      </w:r>
      <w:r w:rsidRPr="004B21CD">
        <w:rPr>
          <w:noProof/>
          <w:lang w:val="en-IE"/>
        </w:rPr>
        <w:t>on reporting and managing financial interests</w:t>
      </w:r>
      <w:r w:rsidRPr="004B21CD">
        <w:rPr>
          <w:rStyle w:val="FootnoteReference"/>
          <w:noProof/>
          <w:lang w:val="en-IE"/>
        </w:rPr>
        <w:footnoteReference w:id="70"/>
      </w:r>
      <w:r w:rsidRPr="004B21CD">
        <w:rPr>
          <w:noProof/>
          <w:lang w:val="en-IE"/>
        </w:rPr>
        <w:t xml:space="preserve">. </w:t>
      </w:r>
      <w:r w:rsidRPr="004B21CD">
        <w:rPr>
          <w:noProof/>
          <w:lang w:val="en-IE" w:eastAsia="fr-FR"/>
        </w:rPr>
        <w:t xml:space="preserve">The revised ethical guidelines for civil service </w:t>
      </w:r>
      <w:r w:rsidR="004D722C">
        <w:rPr>
          <w:noProof/>
          <w:lang w:val="en-IE" w:eastAsia="fr-FR"/>
        </w:rPr>
        <w:t xml:space="preserve">within the Swedish Government </w:t>
      </w:r>
      <w:r w:rsidRPr="004B21CD">
        <w:rPr>
          <w:noProof/>
          <w:lang w:val="en-IE" w:eastAsia="fr-FR"/>
        </w:rPr>
        <w:t>that came into effect on 2 June 2026 include a section on anti-corruption and core public values</w:t>
      </w:r>
      <w:r w:rsidRPr="004B21CD">
        <w:rPr>
          <w:rStyle w:val="FootnoteReference"/>
          <w:noProof/>
          <w:lang w:val="en-IE" w:eastAsia="fr-FR"/>
        </w:rPr>
        <w:footnoteReference w:id="71"/>
      </w:r>
      <w:r w:rsidRPr="004B21CD">
        <w:rPr>
          <w:noProof/>
          <w:lang w:val="en-IE" w:eastAsia="fr-FR"/>
        </w:rPr>
        <w:t>. A voluntary training program on undue influence is now available online for public administration employees</w:t>
      </w:r>
      <w:r w:rsidRPr="004B21CD">
        <w:rPr>
          <w:rStyle w:val="FootnoteReference"/>
          <w:noProof/>
          <w:lang w:val="en-IE" w:eastAsia="fr-FR"/>
        </w:rPr>
        <w:footnoteReference w:id="72"/>
      </w:r>
      <w:r w:rsidRPr="004B21CD">
        <w:rPr>
          <w:noProof/>
          <w:lang w:val="en-IE" w:eastAsia="fr-FR"/>
        </w:rPr>
        <w:t>.</w:t>
      </w:r>
    </w:p>
    <w:p w14:paraId="1303CA90" w14:textId="4F77AB1D" w:rsidR="00A24A13" w:rsidRPr="004B21CD" w:rsidRDefault="00D35DC0" w:rsidP="00A24A13">
      <w:pPr>
        <w:rPr>
          <w:rFonts w:eastAsia="Calibri"/>
          <w:noProof/>
          <w:lang w:val="en-IE"/>
        </w:rPr>
      </w:pPr>
      <w:r>
        <w:rPr>
          <w:rFonts w:eastAsia="Calibri"/>
          <w:b/>
          <w:bCs/>
          <w:noProof/>
          <w:lang w:val="en-IE"/>
        </w:rPr>
        <w:t>Parliament</w:t>
      </w:r>
      <w:r w:rsidR="00A24A13" w:rsidRPr="004B21CD">
        <w:rPr>
          <w:rFonts w:eastAsia="Calibri"/>
          <w:b/>
          <w:bCs/>
          <w:noProof/>
          <w:lang w:val="en-IE"/>
        </w:rPr>
        <w:t xml:space="preserve"> has </w:t>
      </w:r>
      <w:r w:rsidR="0014247F">
        <w:rPr>
          <w:rFonts w:eastAsia="Calibri"/>
          <w:b/>
          <w:bCs/>
          <w:noProof/>
          <w:lang w:val="en-IE"/>
        </w:rPr>
        <w:t>a</w:t>
      </w:r>
      <w:r w:rsidR="009D6068">
        <w:rPr>
          <w:rFonts w:eastAsia="Calibri"/>
          <w:b/>
          <w:bCs/>
          <w:noProof/>
          <w:lang w:val="en-IE"/>
        </w:rPr>
        <w:t>dopted</w:t>
      </w:r>
      <w:r w:rsidR="0014247F">
        <w:rPr>
          <w:rFonts w:eastAsia="Calibri"/>
          <w:b/>
          <w:bCs/>
          <w:noProof/>
          <w:lang w:val="en-IE"/>
        </w:rPr>
        <w:t xml:space="preserve"> </w:t>
      </w:r>
      <w:r w:rsidR="00B1142A">
        <w:rPr>
          <w:rFonts w:eastAsia="Calibri"/>
          <w:b/>
          <w:bCs/>
          <w:noProof/>
          <w:lang w:val="en-IE"/>
        </w:rPr>
        <w:t>legislation</w:t>
      </w:r>
      <w:r w:rsidR="00A24A13" w:rsidRPr="004B21CD">
        <w:rPr>
          <w:rFonts w:eastAsia="Calibri"/>
          <w:b/>
          <w:bCs/>
          <w:noProof/>
          <w:lang w:val="en-IE"/>
        </w:rPr>
        <w:t xml:space="preserve"> providing for an obligation for lobbyists to register and disclose their contacts with political decision-makers.</w:t>
      </w:r>
      <w:r w:rsidR="00A24A13" w:rsidRPr="004B21CD">
        <w:rPr>
          <w:rFonts w:eastAsia="Calibri"/>
          <w:noProof/>
          <w:lang w:val="en-IE"/>
        </w:rPr>
        <w:t xml:space="preserve"> </w:t>
      </w:r>
      <w:r w:rsidR="003D6176">
        <w:rPr>
          <w:rFonts w:eastAsia="Calibri"/>
          <w:noProof/>
          <w:lang w:val="en-IE"/>
        </w:rPr>
        <w:t>The legislation will enter into force on 1 July 2027</w:t>
      </w:r>
      <w:r w:rsidR="003D6176">
        <w:rPr>
          <w:rStyle w:val="FootnoteReference"/>
          <w:rFonts w:eastAsia="Calibri"/>
          <w:noProof/>
          <w:lang w:val="en-IE"/>
        </w:rPr>
        <w:footnoteReference w:id="73"/>
      </w:r>
      <w:r w:rsidR="003D6176">
        <w:rPr>
          <w:rFonts w:eastAsia="Calibri"/>
          <w:noProof/>
          <w:lang w:val="en-IE"/>
        </w:rPr>
        <w:t xml:space="preserve">. </w:t>
      </w:r>
      <w:r w:rsidR="00A24A13" w:rsidRPr="004B21CD">
        <w:rPr>
          <w:rFonts w:eastAsia="Calibri"/>
          <w:noProof/>
          <w:lang w:val="en-IE"/>
        </w:rPr>
        <w:t>Following the report of the all-party committee and the OECD recommendations</w:t>
      </w:r>
      <w:r w:rsidR="00A24A13" w:rsidRPr="004B21CD">
        <w:rPr>
          <w:rStyle w:val="FootnoteReference"/>
          <w:rFonts w:eastAsia="Calibri"/>
          <w:noProof/>
          <w:lang w:val="en-IE"/>
        </w:rPr>
        <w:footnoteReference w:id="74"/>
      </w:r>
      <w:r w:rsidR="00A24A13" w:rsidRPr="004B21CD">
        <w:rPr>
          <w:rFonts w:eastAsia="Calibri"/>
          <w:noProof/>
          <w:lang w:val="en-IE"/>
        </w:rPr>
        <w:t>, a draft bill on increased transparency of political processes was submitted to the Legislative Council on 3 March 2026</w:t>
      </w:r>
      <w:r w:rsidR="00A24A13" w:rsidRPr="004B21CD">
        <w:rPr>
          <w:rStyle w:val="FootnoteReference"/>
          <w:rFonts w:eastAsia="Calibri"/>
          <w:noProof/>
          <w:lang w:val="en-IE"/>
        </w:rPr>
        <w:footnoteReference w:id="75"/>
      </w:r>
      <w:r w:rsidR="00A24A13" w:rsidRPr="004B21CD">
        <w:rPr>
          <w:rFonts w:eastAsia="Calibri"/>
          <w:noProof/>
          <w:lang w:val="en-IE"/>
        </w:rPr>
        <w:t>, which has completed its scrutiny</w:t>
      </w:r>
      <w:r w:rsidR="00A24A13" w:rsidRPr="004B21CD">
        <w:rPr>
          <w:noProof/>
          <w:lang w:val="en-IE" w:eastAsia="fr-FR"/>
        </w:rPr>
        <w:t>.</w:t>
      </w:r>
      <w:r w:rsidR="00A24A13" w:rsidRPr="004B21CD">
        <w:rPr>
          <w:rFonts w:eastAsia="Calibri"/>
          <w:noProof/>
          <w:lang w:val="en-IE"/>
        </w:rPr>
        <w:t xml:space="preserve"> </w:t>
      </w:r>
      <w:r w:rsidR="00EA0B54">
        <w:rPr>
          <w:rFonts w:eastAsia="Calibri"/>
          <w:noProof/>
          <w:lang w:val="en-IE"/>
        </w:rPr>
        <w:t>The legislation</w:t>
      </w:r>
      <w:r w:rsidR="00A24A13" w:rsidRPr="004B21CD">
        <w:rPr>
          <w:rFonts w:eastAsia="Calibri"/>
          <w:noProof/>
          <w:lang w:val="en-IE"/>
        </w:rPr>
        <w:t xml:space="preserve"> requires legal entities to register their lobbying contacts with policymakers and include information such as the topics, counterparts, methods and frequency of contacts. It also establishes oversight and enforcement mechanisms, with a public register and sanctions for non-compliance, to increase public insight into efforts to influence political decisions. The proposed </w:t>
      </w:r>
      <w:r w:rsidR="00A24A13" w:rsidRPr="004B21CD">
        <w:rPr>
          <w:noProof/>
          <w:lang w:val="en-IE"/>
        </w:rPr>
        <w:t>lobbying register would align the legislative framework with international standards</w:t>
      </w:r>
      <w:r w:rsidR="00A24A13" w:rsidRPr="004B21CD">
        <w:rPr>
          <w:rStyle w:val="FootnoteReference"/>
          <w:noProof/>
          <w:lang w:val="en-IE"/>
        </w:rPr>
        <w:footnoteReference w:id="76"/>
      </w:r>
      <w:r w:rsidR="00A24A13" w:rsidRPr="004B21CD">
        <w:rPr>
          <w:noProof/>
          <w:lang w:val="en-IE"/>
        </w:rPr>
        <w:t>. Stakeholders welcome the proposal, while noting that extending the rules to regional and local level could also be considered, given the highly decentralised way of decision-making in Sweden</w:t>
      </w:r>
      <w:r w:rsidR="00A24A13" w:rsidRPr="004B21CD">
        <w:rPr>
          <w:rStyle w:val="FootnoteReference"/>
          <w:noProof/>
          <w:lang w:val="en-IE"/>
        </w:rPr>
        <w:footnoteReference w:id="77"/>
      </w:r>
      <w:r w:rsidR="00A24A13" w:rsidRPr="004B21CD">
        <w:rPr>
          <w:noProof/>
          <w:lang w:val="en-IE"/>
        </w:rPr>
        <w:t>.</w:t>
      </w:r>
    </w:p>
    <w:p w14:paraId="137EA9DE" w14:textId="54EE575A" w:rsidR="00A24A13" w:rsidRPr="004B21CD" w:rsidRDefault="00A24A13" w:rsidP="446A9E5D">
      <w:pPr>
        <w:rPr>
          <w:rFonts w:eastAsia="Calibri"/>
          <w:noProof/>
        </w:rPr>
      </w:pPr>
      <w:bookmarkStart w:id="12" w:name="_Hlk223599586"/>
      <w:r w:rsidRPr="446A9E5D">
        <w:rPr>
          <w:rFonts w:eastAsia="Calibri"/>
          <w:b/>
          <w:bCs/>
          <w:noProof/>
        </w:rPr>
        <w:t>There has been no progress on the recommendation to follow up on the inquiry on rules on revolving doors</w:t>
      </w:r>
      <w:r w:rsidRPr="446A9E5D">
        <w:rPr>
          <w:rStyle w:val="FootnoteReference"/>
          <w:rFonts w:eastAsia="Calibri"/>
          <w:b/>
          <w:bCs/>
          <w:noProof/>
        </w:rPr>
        <w:footnoteReference w:id="78"/>
      </w:r>
      <w:r w:rsidRPr="446A9E5D">
        <w:rPr>
          <w:rFonts w:eastAsia="Calibri"/>
          <w:b/>
          <w:bCs/>
          <w:noProof/>
        </w:rPr>
        <w:t xml:space="preserve">. </w:t>
      </w:r>
      <w:bookmarkEnd w:id="12"/>
      <w:r w:rsidRPr="446A9E5D">
        <w:rPr>
          <w:rFonts w:eastAsia="Calibri"/>
          <w:noProof/>
        </w:rPr>
        <w:t>A committee of inquiry recommended in 2023 to extend the scope of revolving door rules beyond ministers and state secretaries, introduce a general framework for other public employees, require notifications of moves to the private sector and set a maximum duration of restrictions</w:t>
      </w:r>
      <w:r w:rsidRPr="446A9E5D">
        <w:rPr>
          <w:rStyle w:val="FootnoteReference"/>
          <w:rFonts w:eastAsia="Calibri"/>
          <w:noProof/>
        </w:rPr>
        <w:footnoteReference w:id="79"/>
      </w:r>
      <w:r w:rsidRPr="446A9E5D">
        <w:rPr>
          <w:rFonts w:eastAsia="Calibri"/>
          <w:noProof/>
        </w:rPr>
        <w:t xml:space="preserve">. </w:t>
      </w:r>
      <w:r w:rsidR="00547E2B" w:rsidRPr="446A9E5D">
        <w:rPr>
          <w:rFonts w:eastAsia="Calibri"/>
          <w:noProof/>
        </w:rPr>
        <w:t xml:space="preserve">The proposals </w:t>
      </w:r>
      <w:r w:rsidR="004057F5" w:rsidRPr="446A9E5D">
        <w:rPr>
          <w:rFonts w:eastAsia="Calibri"/>
          <w:noProof/>
        </w:rPr>
        <w:t>remain</w:t>
      </w:r>
      <w:r w:rsidR="00547E2B" w:rsidRPr="446A9E5D">
        <w:rPr>
          <w:rFonts w:eastAsia="Calibri"/>
          <w:noProof/>
        </w:rPr>
        <w:t xml:space="preserve"> under consideration within the Government Offices</w:t>
      </w:r>
      <w:r w:rsidRPr="446A9E5D">
        <w:rPr>
          <w:rStyle w:val="FootnoteReference"/>
          <w:rFonts w:eastAsia="Calibri"/>
          <w:noProof/>
        </w:rPr>
        <w:footnoteReference w:id="80"/>
      </w:r>
      <w:r w:rsidR="00547E2B" w:rsidRPr="446A9E5D">
        <w:rPr>
          <w:rFonts w:eastAsia="Calibri"/>
          <w:noProof/>
        </w:rPr>
        <w:t xml:space="preserve">. </w:t>
      </w:r>
      <w:r w:rsidRPr="446A9E5D">
        <w:rPr>
          <w:rFonts w:eastAsia="Calibri"/>
          <w:noProof/>
        </w:rPr>
        <w:t>Civil society also supports the adoption of measures regarding post-employment restrictions</w:t>
      </w:r>
      <w:r w:rsidRPr="446A9E5D">
        <w:rPr>
          <w:rStyle w:val="FootnoteReference"/>
          <w:rFonts w:eastAsia="Calibri"/>
          <w:noProof/>
        </w:rPr>
        <w:footnoteReference w:id="81"/>
      </w:r>
      <w:r w:rsidRPr="446A9E5D">
        <w:rPr>
          <w:rFonts w:eastAsia="Calibri"/>
          <w:noProof/>
        </w:rPr>
        <w:t xml:space="preserve">. There has therefore been no progress on this recommendation. </w:t>
      </w:r>
    </w:p>
    <w:p w14:paraId="7D475BEC" w14:textId="37A85B8D" w:rsidR="00A24A13" w:rsidRPr="004B21CD" w:rsidRDefault="007A5CD4" w:rsidP="00A24A13">
      <w:pPr>
        <w:rPr>
          <w:b/>
          <w:bCs/>
          <w:noProof/>
        </w:rPr>
      </w:pPr>
      <w:r>
        <w:rPr>
          <w:rFonts w:eastAsia="Calibri"/>
          <w:b/>
          <w:bCs/>
          <w:noProof/>
          <w:lang w:val="en-IE"/>
        </w:rPr>
        <w:t>R</w:t>
      </w:r>
      <w:r w:rsidR="00FD4B90">
        <w:rPr>
          <w:rFonts w:eastAsia="Calibri"/>
          <w:b/>
          <w:bCs/>
          <w:noProof/>
          <w:lang w:val="en-IE"/>
        </w:rPr>
        <w:t xml:space="preserve">ecently </w:t>
      </w:r>
      <w:r w:rsidR="00F32703">
        <w:rPr>
          <w:rFonts w:eastAsia="Calibri"/>
          <w:b/>
          <w:bCs/>
          <w:noProof/>
          <w:lang w:val="en-IE"/>
        </w:rPr>
        <w:t xml:space="preserve">adopted </w:t>
      </w:r>
      <w:r w:rsidR="00F32703" w:rsidRPr="004B21CD">
        <w:rPr>
          <w:rFonts w:eastAsia="Calibri"/>
          <w:b/>
          <w:bCs/>
          <w:noProof/>
        </w:rPr>
        <w:t>legislation</w:t>
      </w:r>
      <w:r w:rsidR="00F32703">
        <w:rPr>
          <w:rFonts w:eastAsia="Calibri"/>
          <w:b/>
          <w:bCs/>
          <w:noProof/>
        </w:rPr>
        <w:t xml:space="preserve"> </w:t>
      </w:r>
      <w:r w:rsidR="00F32703" w:rsidRPr="004B21CD">
        <w:rPr>
          <w:rFonts w:eastAsia="Calibri"/>
          <w:b/>
          <w:bCs/>
          <w:noProof/>
        </w:rPr>
        <w:t>strengthens</w:t>
      </w:r>
      <w:r w:rsidR="00A24A13" w:rsidRPr="004B21CD">
        <w:rPr>
          <w:rFonts w:eastAsia="Calibri"/>
          <w:b/>
          <w:bCs/>
          <w:noProof/>
        </w:rPr>
        <w:t xml:space="preserve"> the rules on political party financing, aligning the Swedish framework with international standards and recommendations. </w:t>
      </w:r>
      <w:r w:rsidR="00A24A13" w:rsidRPr="004B21CD">
        <w:rPr>
          <w:rFonts w:eastAsia="Calibri"/>
          <w:noProof/>
        </w:rPr>
        <w:t xml:space="preserve">The </w:t>
      </w:r>
      <w:r w:rsidR="008053BF">
        <w:rPr>
          <w:rFonts w:eastAsia="Calibri"/>
          <w:noProof/>
        </w:rPr>
        <w:t xml:space="preserve">law, </w:t>
      </w:r>
      <w:r w:rsidR="008053BF" w:rsidRPr="004B21CD">
        <w:rPr>
          <w:rFonts w:eastAsia="Calibri"/>
          <w:noProof/>
        </w:rPr>
        <w:t>increasing</w:t>
      </w:r>
      <w:r w:rsidR="00A24A13" w:rsidRPr="004B21CD">
        <w:rPr>
          <w:rFonts w:eastAsia="Calibri"/>
          <w:noProof/>
        </w:rPr>
        <w:t xml:space="preserve"> transparency of political processes</w:t>
      </w:r>
      <w:r w:rsidR="00A24A13" w:rsidRPr="004B21CD">
        <w:rPr>
          <w:rStyle w:val="FootnoteReference"/>
          <w:rFonts w:eastAsia="Calibri"/>
          <w:noProof/>
        </w:rPr>
        <w:footnoteReference w:id="82"/>
      </w:r>
      <w:r w:rsidR="00013AB7">
        <w:rPr>
          <w:rFonts w:eastAsia="Calibri"/>
          <w:noProof/>
        </w:rPr>
        <w:t>,</w:t>
      </w:r>
      <w:r w:rsidR="00A24A13" w:rsidRPr="004B21CD">
        <w:rPr>
          <w:rFonts w:eastAsia="Calibri"/>
          <w:noProof/>
        </w:rPr>
        <w:t xml:space="preserve"> also aims to strengthen the rules on political party financing</w:t>
      </w:r>
      <w:r w:rsidR="00A24A13" w:rsidRPr="004B21CD">
        <w:rPr>
          <w:rStyle w:val="FootnoteReference"/>
          <w:rFonts w:eastAsia="Calibri"/>
          <w:noProof/>
        </w:rPr>
        <w:footnoteReference w:id="83"/>
      </w:r>
      <w:r w:rsidR="00A24A13" w:rsidRPr="004B21CD">
        <w:rPr>
          <w:rFonts w:eastAsia="Calibri"/>
          <w:noProof/>
        </w:rPr>
        <w:t xml:space="preserve">, to ban foreign political donations, and to expand financial reporting obligations for political parties to include both income and expenditure as well as assets and liabilities. Moreover, the </w:t>
      </w:r>
      <w:r w:rsidR="00140243">
        <w:rPr>
          <w:rFonts w:eastAsia="Calibri"/>
          <w:noProof/>
        </w:rPr>
        <w:t>law</w:t>
      </w:r>
      <w:r w:rsidR="003506D2">
        <w:rPr>
          <w:rFonts w:eastAsia="Calibri"/>
          <w:noProof/>
        </w:rPr>
        <w:t xml:space="preserve"> </w:t>
      </w:r>
      <w:r w:rsidR="00A24A13" w:rsidRPr="004B21CD">
        <w:rPr>
          <w:rFonts w:eastAsia="Calibri"/>
          <w:noProof/>
        </w:rPr>
        <w:t xml:space="preserve">clarifies the definition of a donor and bans anonymous and disguised donations. In addition, non-monetary contributions such as free services or labour would also have to be reported. Administrative sanctions would be imposed for breaking the rules. </w:t>
      </w:r>
      <w:r w:rsidR="00A24A13" w:rsidRPr="004B21CD" w:rsidDel="00A3539A">
        <w:rPr>
          <w:rFonts w:eastAsia="Calibri"/>
          <w:noProof/>
        </w:rPr>
        <w:t xml:space="preserve">Stakeholders </w:t>
      </w:r>
      <w:r w:rsidR="00A24A13" w:rsidRPr="004B21CD">
        <w:rPr>
          <w:rFonts w:eastAsia="Calibri"/>
          <w:noProof/>
        </w:rPr>
        <w:t xml:space="preserve">have noted that </w:t>
      </w:r>
      <w:r w:rsidR="00A24A13" w:rsidRPr="004B21CD">
        <w:rPr>
          <w:noProof/>
        </w:rPr>
        <w:t>a potential gap may remain in the proposed system of banning foreign donations, with a possibility for foreign donors to route money through a Swedish intermediary</w:t>
      </w:r>
      <w:r w:rsidR="00A24A13" w:rsidRPr="004B21CD">
        <w:rPr>
          <w:rStyle w:val="FootnoteReference"/>
          <w:rFonts w:eastAsia="Calibri"/>
          <w:noProof/>
        </w:rPr>
        <w:footnoteReference w:id="84"/>
      </w:r>
      <w:r w:rsidR="00A24A13" w:rsidRPr="004B21CD">
        <w:rPr>
          <w:noProof/>
        </w:rPr>
        <w:t xml:space="preserve">. Overall, the </w:t>
      </w:r>
      <w:r w:rsidR="00140243">
        <w:rPr>
          <w:noProof/>
        </w:rPr>
        <w:t>law</w:t>
      </w:r>
      <w:r w:rsidR="00267283">
        <w:rPr>
          <w:noProof/>
        </w:rPr>
        <w:t xml:space="preserve"> </w:t>
      </w:r>
      <w:r w:rsidR="00140243">
        <w:rPr>
          <w:noProof/>
        </w:rPr>
        <w:t xml:space="preserve">is expected to </w:t>
      </w:r>
      <w:r w:rsidR="00A24A13" w:rsidRPr="004B21CD">
        <w:rPr>
          <w:noProof/>
        </w:rPr>
        <w:t>contribute to aligning the Swedish framework with international standards and GRECO, EU</w:t>
      </w:r>
      <w:r w:rsidR="00A24A13" w:rsidRPr="004B21CD">
        <w:rPr>
          <w:rStyle w:val="FootnoteReference"/>
          <w:noProof/>
        </w:rPr>
        <w:footnoteReference w:id="85"/>
      </w:r>
      <w:r w:rsidR="00A24A13" w:rsidRPr="004B21CD">
        <w:rPr>
          <w:noProof/>
        </w:rPr>
        <w:t xml:space="preserve"> and OECD recommendations</w:t>
      </w:r>
      <w:r w:rsidR="00A24A13" w:rsidRPr="004B21CD">
        <w:rPr>
          <w:rStyle w:val="FootnoteReference"/>
          <w:noProof/>
        </w:rPr>
        <w:footnoteReference w:id="86"/>
      </w:r>
      <w:r w:rsidR="00A24A13" w:rsidRPr="004B21CD">
        <w:rPr>
          <w:noProof/>
        </w:rPr>
        <w:t xml:space="preserve">. In its 2025 Annual Report, the </w:t>
      </w:r>
      <w:r w:rsidR="00A24A13" w:rsidRPr="004B21CD">
        <w:rPr>
          <w:rFonts w:eastAsia="Calibri"/>
          <w:noProof/>
        </w:rPr>
        <w:t>Swedish Legal, Financial and Administrative Services Agency opened five enforcement cases in 2025 (down from 10 in 2024) and received one external complaint regarding party financing oversight</w:t>
      </w:r>
      <w:r w:rsidR="00A24A13" w:rsidRPr="004B21CD">
        <w:rPr>
          <w:rStyle w:val="FootnoteReference"/>
          <w:rFonts w:eastAsia="Calibri"/>
          <w:noProof/>
        </w:rPr>
        <w:footnoteReference w:id="87"/>
      </w:r>
      <w:r w:rsidR="00A24A13" w:rsidRPr="004B21CD">
        <w:rPr>
          <w:rFonts w:eastAsia="Calibri"/>
          <w:noProof/>
        </w:rPr>
        <w:t xml:space="preserve">. </w:t>
      </w:r>
      <w:bookmarkStart w:id="14" w:name="_Hlk224638466"/>
      <w:r w:rsidR="00A24A13" w:rsidRPr="004B21CD">
        <w:rPr>
          <w:b/>
          <w:bCs/>
          <w:noProof/>
        </w:rPr>
        <w:t xml:space="preserve"> </w:t>
      </w:r>
    </w:p>
    <w:p w14:paraId="359E685E" w14:textId="77777777" w:rsidR="00A24A13" w:rsidRPr="004B21CD" w:rsidRDefault="00A24A13" w:rsidP="00A24A13">
      <w:pPr>
        <w:rPr>
          <w:noProof/>
          <w:lang w:val="en-IE"/>
        </w:rPr>
      </w:pPr>
      <w:r w:rsidRPr="004B21CD">
        <w:rPr>
          <w:b/>
          <w:bCs/>
          <w:noProof/>
          <w:lang w:val="en-IE"/>
        </w:rPr>
        <w:t>The 2021 Whistleblowers Act continues to be implemented and inspections of reporting channels in the private sector have been carried out.</w:t>
      </w:r>
      <w:r w:rsidRPr="004B21CD">
        <w:rPr>
          <w:noProof/>
          <w:lang w:val="en-IE"/>
        </w:rPr>
        <w:t xml:space="preserve"> The Whistleblower Act</w:t>
      </w:r>
      <w:r w:rsidRPr="004B21CD">
        <w:rPr>
          <w:rStyle w:val="FootnoteReference"/>
          <w:noProof/>
          <w:lang w:val="en-IE"/>
        </w:rPr>
        <w:footnoteReference w:id="88"/>
      </w:r>
      <w:r w:rsidRPr="004B21CD">
        <w:rPr>
          <w:noProof/>
          <w:lang w:val="en-IE"/>
        </w:rPr>
        <w:t xml:space="preserve"> continued to be applied. In 2024</w:t>
      </w:r>
      <w:r w:rsidRPr="004B21CD">
        <w:rPr>
          <w:rStyle w:val="FootnoteReference"/>
          <w:noProof/>
          <w:lang w:val="en-IE"/>
        </w:rPr>
        <w:footnoteReference w:id="89"/>
      </w:r>
      <w:r w:rsidRPr="004B21CD">
        <w:rPr>
          <w:noProof/>
          <w:lang w:val="en-IE"/>
        </w:rPr>
        <w:t xml:space="preserve"> the Work Environment Authority recorded 121 whistleblowing reports</w:t>
      </w:r>
      <w:r w:rsidRPr="004B21CD">
        <w:rPr>
          <w:rStyle w:val="FootnoteReference"/>
          <w:noProof/>
          <w:lang w:val="en-IE"/>
        </w:rPr>
        <w:footnoteReference w:id="90"/>
      </w:r>
      <w:r w:rsidRPr="004B21CD">
        <w:rPr>
          <w:noProof/>
          <w:lang w:val="en-IE"/>
        </w:rPr>
        <w:t>. The Authority recently carried out inspections in the private sector</w:t>
      </w:r>
      <w:r w:rsidRPr="004B21CD">
        <w:rPr>
          <w:rStyle w:val="FootnoteReference"/>
          <w:noProof/>
          <w:lang w:val="en-IE"/>
        </w:rPr>
        <w:footnoteReference w:id="91"/>
      </w:r>
      <w:r w:rsidRPr="004B21CD">
        <w:rPr>
          <w:noProof/>
          <w:lang w:val="en-IE"/>
        </w:rPr>
        <w:t xml:space="preserve"> and will publish the results in a report</w:t>
      </w:r>
      <w:r w:rsidRPr="004B21CD">
        <w:rPr>
          <w:rStyle w:val="FootnoteReference"/>
          <w:noProof/>
          <w:lang w:val="en-IE"/>
        </w:rPr>
        <w:footnoteReference w:id="92"/>
      </w:r>
      <w:r w:rsidRPr="004B21CD">
        <w:rPr>
          <w:noProof/>
          <w:lang w:val="en-IE"/>
        </w:rPr>
        <w:t>. A 2026 investigation by a media outlet found inconsistencies in how different Swedish authorities handle whistleblowing reports, noting that only a very small number of reports have led to disciplinary or criminal proceedings</w:t>
      </w:r>
      <w:r w:rsidRPr="004B21CD">
        <w:rPr>
          <w:rStyle w:val="FootnoteReference"/>
          <w:noProof/>
          <w:lang w:val="en-IE"/>
        </w:rPr>
        <w:footnoteReference w:id="93"/>
      </w:r>
      <w:r w:rsidRPr="004B21CD">
        <w:rPr>
          <w:noProof/>
          <w:lang w:val="en-IE"/>
        </w:rPr>
        <w:t xml:space="preserve">. The Government notes that the </w:t>
      </w:r>
      <w:r w:rsidRPr="004B21CD">
        <w:rPr>
          <w:noProof/>
        </w:rPr>
        <w:t>administrative implementation of the whistleblowing framework by the relevant authorities reflects their high institutional independence, and that some reports filed through whistleblowing channels fall outside the scope of the Whistleblowing Act</w:t>
      </w:r>
      <w:r w:rsidRPr="004B21CD">
        <w:rPr>
          <w:rStyle w:val="FootnoteReference"/>
          <w:noProof/>
        </w:rPr>
        <w:footnoteReference w:id="94"/>
      </w:r>
      <w:r w:rsidRPr="004B21CD">
        <w:rPr>
          <w:noProof/>
        </w:rPr>
        <w:t xml:space="preserve">. </w:t>
      </w:r>
    </w:p>
    <w:p w14:paraId="1916ACE7" w14:textId="2E243B82" w:rsidR="00A24A13" w:rsidRPr="004B21CD" w:rsidRDefault="00A24A13" w:rsidP="00A24A13">
      <w:pPr>
        <w:rPr>
          <w:rFonts w:eastAsia="Calibri"/>
          <w:noProof/>
          <w:lang w:val="en-IE"/>
        </w:rPr>
      </w:pPr>
      <w:r w:rsidRPr="004B21CD">
        <w:rPr>
          <w:rFonts w:eastAsia="Calibri"/>
          <w:b/>
          <w:bCs/>
          <w:noProof/>
          <w:lang w:val="en-IE"/>
        </w:rPr>
        <w:t xml:space="preserve">Measures are being taken to address the risk of corruption in public procurement, such as enhancing the transparency and reliability of procurement data and increasing scrutiny of bidders and suppliers. </w:t>
      </w:r>
      <w:bookmarkEnd w:id="14"/>
      <w:r w:rsidRPr="004B21CD">
        <w:rPr>
          <w:rFonts w:eastAsia="Calibri"/>
          <w:noProof/>
          <w:lang w:val="en-IE"/>
        </w:rPr>
        <w:t>Businesses’ attitudes towards corruption in the EU shows that 30% of companies in Sweden (EU average 30%) think that corruption has prevented them from winning a public tender in practice in the last three years. 85% of companies perceive the level of independence of the public procurement review bodies (administrative courts) as very or fairly good, which has significantly increased in comparison with 2025 (64%)</w:t>
      </w:r>
      <w:r w:rsidRPr="004B21CD">
        <w:rPr>
          <w:rStyle w:val="FootnoteReference"/>
          <w:rFonts w:eastAsia="Calibri"/>
          <w:noProof/>
          <w:lang w:val="en-IE"/>
        </w:rPr>
        <w:footnoteReference w:id="95"/>
      </w:r>
      <w:r w:rsidRPr="004B21CD">
        <w:rPr>
          <w:rFonts w:eastAsia="Calibri"/>
          <w:noProof/>
          <w:lang w:val="en-IE"/>
        </w:rPr>
        <w:t>. The Single Market and Competitiveness Scoreboard on access to public procurement in Sweden reports 23% of single bids for 2024 (27% EU average). A number of challenges persist</w:t>
      </w:r>
      <w:r w:rsidRPr="004B21CD">
        <w:rPr>
          <w:rStyle w:val="FootnoteReference"/>
          <w:rFonts w:eastAsia="Calibri"/>
          <w:noProof/>
          <w:lang w:val="en-IE"/>
        </w:rPr>
        <w:footnoteReference w:id="96"/>
      </w:r>
      <w:r w:rsidRPr="004B21CD">
        <w:rPr>
          <w:rFonts w:eastAsia="Calibri"/>
          <w:noProof/>
          <w:lang w:val="en-IE"/>
        </w:rPr>
        <w:t>, also taking into account the high proportion of government services outsourced to the private sector</w:t>
      </w:r>
      <w:r w:rsidRPr="004B21CD">
        <w:rPr>
          <w:rStyle w:val="FootnoteReference"/>
          <w:rFonts w:eastAsia="Calibri"/>
          <w:noProof/>
          <w:lang w:val="en-IE"/>
        </w:rPr>
        <w:footnoteReference w:id="97"/>
      </w:r>
      <w:r w:rsidRPr="004B21CD">
        <w:rPr>
          <w:rFonts w:eastAsia="Calibri"/>
          <w:noProof/>
          <w:lang w:val="en-IE"/>
        </w:rPr>
        <w:t>. Digitalisation and centralisation of procurement data have been identified as desirable by stakeholders</w:t>
      </w:r>
      <w:r w:rsidRPr="004B21CD">
        <w:rPr>
          <w:rStyle w:val="FootnoteReference"/>
          <w:rFonts w:eastAsia="Calibri"/>
          <w:noProof/>
          <w:lang w:val="en-IE"/>
        </w:rPr>
        <w:footnoteReference w:id="98"/>
      </w:r>
      <w:r w:rsidRPr="004B21CD">
        <w:rPr>
          <w:rFonts w:eastAsia="Calibri"/>
          <w:noProof/>
          <w:lang w:val="en-IE"/>
        </w:rPr>
        <w:t>. The Government has introduced several measures to reduce corruption risks in public procurement. Alongside reforms of corruption offences</w:t>
      </w:r>
      <w:r w:rsidRPr="004B21CD">
        <w:rPr>
          <w:rStyle w:val="FootnoteReference"/>
          <w:rFonts w:eastAsia="Calibri"/>
          <w:noProof/>
          <w:lang w:val="en-IE"/>
        </w:rPr>
        <w:footnoteReference w:id="99"/>
      </w:r>
      <w:r w:rsidRPr="004B21CD">
        <w:rPr>
          <w:rFonts w:eastAsia="Calibri"/>
          <w:noProof/>
          <w:lang w:val="en-IE"/>
        </w:rPr>
        <w:t xml:space="preserve">, the Government </w:t>
      </w:r>
      <w:r w:rsidR="007D58B4">
        <w:rPr>
          <w:rFonts w:eastAsia="Calibri"/>
          <w:noProof/>
          <w:lang w:val="en-IE"/>
        </w:rPr>
        <w:t xml:space="preserve">has </w:t>
      </w:r>
      <w:r w:rsidR="00FB7746">
        <w:rPr>
          <w:rFonts w:eastAsia="Calibri"/>
          <w:noProof/>
          <w:lang w:val="en-IE"/>
        </w:rPr>
        <w:t>tasked</w:t>
      </w:r>
      <w:r w:rsidR="007D58B4">
        <w:rPr>
          <w:rFonts w:eastAsia="Calibri"/>
          <w:noProof/>
          <w:lang w:val="en-IE"/>
        </w:rPr>
        <w:t xml:space="preserve"> the</w:t>
      </w:r>
      <w:r w:rsidR="00DF607F">
        <w:rPr>
          <w:rFonts w:eastAsia="Calibri"/>
          <w:noProof/>
          <w:lang w:val="en-IE"/>
        </w:rPr>
        <w:t xml:space="preserve"> </w:t>
      </w:r>
      <w:r w:rsidR="00DF607F" w:rsidRPr="00DF607F">
        <w:rPr>
          <w:rFonts w:eastAsia="Calibri"/>
          <w:noProof/>
          <w:lang w:val="en-IE"/>
        </w:rPr>
        <w:t xml:space="preserve">Swedish Agency for Public Management </w:t>
      </w:r>
      <w:r w:rsidR="00EF45E1">
        <w:rPr>
          <w:rFonts w:eastAsia="Calibri"/>
          <w:noProof/>
          <w:lang w:val="en-IE"/>
        </w:rPr>
        <w:t>with</w:t>
      </w:r>
      <w:r w:rsidR="00DF607F" w:rsidRPr="00DF607F">
        <w:rPr>
          <w:rFonts w:eastAsia="Calibri"/>
          <w:noProof/>
          <w:lang w:val="en-IE"/>
        </w:rPr>
        <w:t xml:space="preserve"> propos</w:t>
      </w:r>
      <w:r w:rsidR="00EF45E1">
        <w:rPr>
          <w:rFonts w:eastAsia="Calibri"/>
          <w:noProof/>
          <w:lang w:val="en-IE"/>
        </w:rPr>
        <w:t>ing</w:t>
      </w:r>
      <w:r w:rsidR="00DF607F" w:rsidRPr="00DF607F">
        <w:rPr>
          <w:rFonts w:eastAsia="Calibri"/>
          <w:noProof/>
          <w:lang w:val="en-IE"/>
        </w:rPr>
        <w:t xml:space="preserve"> how</w:t>
      </w:r>
      <w:r w:rsidR="007D58B4">
        <w:rPr>
          <w:rFonts w:eastAsia="Calibri"/>
          <w:noProof/>
          <w:lang w:val="en-IE"/>
        </w:rPr>
        <w:t xml:space="preserve"> </w:t>
      </w:r>
      <w:r w:rsidRPr="004B21CD">
        <w:rPr>
          <w:rFonts w:eastAsia="Calibri"/>
          <w:noProof/>
          <w:lang w:val="en-IE"/>
        </w:rPr>
        <w:t xml:space="preserve">a national public procurement database </w:t>
      </w:r>
      <w:r w:rsidR="005C7393">
        <w:rPr>
          <w:rFonts w:eastAsia="Calibri"/>
          <w:noProof/>
          <w:lang w:val="en-IE"/>
        </w:rPr>
        <w:t xml:space="preserve">and an </w:t>
      </w:r>
      <w:r w:rsidRPr="004B21CD">
        <w:rPr>
          <w:rFonts w:eastAsia="Calibri"/>
          <w:noProof/>
          <w:lang w:val="en-IE"/>
        </w:rPr>
        <w:t>analytical function</w:t>
      </w:r>
      <w:r w:rsidR="00854C99">
        <w:rPr>
          <w:rFonts w:eastAsia="Calibri"/>
          <w:noProof/>
          <w:lang w:val="en-IE"/>
        </w:rPr>
        <w:t xml:space="preserve"> for procurement data and purchasing</w:t>
      </w:r>
      <w:r w:rsidR="00697FCC">
        <w:rPr>
          <w:rFonts w:eastAsia="Calibri"/>
          <w:noProof/>
          <w:lang w:val="en-IE"/>
        </w:rPr>
        <w:t xml:space="preserve"> can be established</w:t>
      </w:r>
      <w:r w:rsidRPr="004B21CD">
        <w:rPr>
          <w:rFonts w:eastAsia="Calibri"/>
          <w:noProof/>
          <w:lang w:val="en-IE"/>
        </w:rPr>
        <w:t xml:space="preserve"> to enhance transparency. </w:t>
      </w:r>
      <w:r w:rsidR="00661D38">
        <w:rPr>
          <w:rFonts w:eastAsia="Calibri"/>
          <w:noProof/>
          <w:lang w:val="en-IE"/>
        </w:rPr>
        <w:t xml:space="preserve">The purpose of the </w:t>
      </w:r>
      <w:r w:rsidRPr="004B21CD">
        <w:rPr>
          <w:rFonts w:eastAsia="Calibri"/>
          <w:noProof/>
          <w:lang w:val="en-IE"/>
        </w:rPr>
        <w:t xml:space="preserve">dedicated data analytics function </w:t>
      </w:r>
      <w:r w:rsidR="00A45854">
        <w:rPr>
          <w:rFonts w:eastAsia="Calibri"/>
          <w:noProof/>
          <w:lang w:val="en-IE"/>
        </w:rPr>
        <w:t xml:space="preserve">is to </w:t>
      </w:r>
      <w:r w:rsidRPr="004B21CD">
        <w:rPr>
          <w:rFonts w:eastAsia="Calibri"/>
          <w:noProof/>
          <w:lang w:val="en-IE"/>
        </w:rPr>
        <w:t>monitor</w:t>
      </w:r>
      <w:r w:rsidRPr="004B21CD">
        <w:rPr>
          <w:noProof/>
        </w:rPr>
        <w:t xml:space="preserve"> </w:t>
      </w:r>
      <w:r w:rsidRPr="004B21CD">
        <w:rPr>
          <w:rFonts w:eastAsia="Calibri"/>
          <w:noProof/>
          <w:lang w:val="en-IE"/>
        </w:rPr>
        <w:t>procurement and purchase data to flag potential corruption</w:t>
      </w:r>
      <w:r w:rsidRPr="004B21CD">
        <w:rPr>
          <w:rStyle w:val="FootnoteReference"/>
          <w:rFonts w:eastAsia="Calibri"/>
          <w:noProof/>
          <w:lang w:val="en-IE"/>
        </w:rPr>
        <w:footnoteReference w:id="100"/>
      </w:r>
      <w:r w:rsidRPr="004B21CD">
        <w:rPr>
          <w:rFonts w:eastAsia="Calibri"/>
          <w:noProof/>
          <w:lang w:val="en-IE"/>
        </w:rPr>
        <w:t>. The National Audit Office is preparing a performance audit on public procurement, addressing also possible irregularities</w:t>
      </w:r>
      <w:r w:rsidRPr="004B21CD">
        <w:rPr>
          <w:rStyle w:val="FootnoteReference"/>
          <w:rFonts w:eastAsia="Calibri"/>
          <w:noProof/>
          <w:lang w:val="en-IE"/>
        </w:rPr>
        <w:footnoteReference w:id="101"/>
      </w:r>
      <w:r w:rsidRPr="004B21CD">
        <w:rPr>
          <w:rFonts w:eastAsia="Calibri"/>
          <w:noProof/>
          <w:lang w:val="en-IE"/>
        </w:rPr>
        <w:t>. Beside public procurement, other sectors representing a high corruption risk include construction and infrastructure, law enforcement, transport, healthcare and social care</w:t>
      </w:r>
      <w:r w:rsidRPr="004B21CD">
        <w:rPr>
          <w:rStyle w:val="FootnoteReference"/>
          <w:rFonts w:eastAsia="Calibri"/>
          <w:noProof/>
          <w:lang w:val="en-IE"/>
        </w:rPr>
        <w:footnoteReference w:id="102"/>
      </w:r>
      <w:r w:rsidRPr="004B21CD">
        <w:rPr>
          <w:rFonts w:eastAsia="Calibri"/>
          <w:noProof/>
          <w:lang w:val="en-IE"/>
        </w:rPr>
        <w:t>. Other risk factors include bribery through cryptocurrencies, as well as the proliferation of corruption brokers and the growing risk of corruption in critical sectors, such as the security industry</w:t>
      </w:r>
      <w:r w:rsidRPr="004B21CD">
        <w:rPr>
          <w:rStyle w:val="FootnoteReference"/>
          <w:rFonts w:eastAsia="Calibri"/>
          <w:noProof/>
          <w:lang w:val="en-IE"/>
        </w:rPr>
        <w:footnoteReference w:id="103"/>
      </w:r>
      <w:r w:rsidRPr="004B21CD">
        <w:rPr>
          <w:rFonts w:eastAsia="Calibri"/>
          <w:noProof/>
          <w:lang w:val="en-IE"/>
        </w:rPr>
        <w:t xml:space="preserve">. </w:t>
      </w:r>
    </w:p>
    <w:p w14:paraId="15F3C9BA" w14:textId="5B219CCA" w:rsidR="00A24A13" w:rsidRPr="004B21CD" w:rsidRDefault="00A24A13" w:rsidP="00E643CA">
      <w:pPr>
        <w:pStyle w:val="Heading1"/>
        <w:numPr>
          <w:ilvl w:val="0"/>
          <w:numId w:val="40"/>
        </w:numPr>
        <w:spacing w:before="0"/>
        <w:rPr>
          <w:noProof/>
          <w:u w:val="single"/>
          <w:lang w:val="en-IE"/>
        </w:rPr>
      </w:pPr>
      <w:r w:rsidRPr="004B21CD">
        <w:rPr>
          <w:noProof/>
          <w:u w:val="single"/>
          <w:lang w:val="en-IE"/>
        </w:rPr>
        <w:t xml:space="preserve">Media Pluralism and Media Freedom </w:t>
      </w:r>
    </w:p>
    <w:p w14:paraId="448E93B3" w14:textId="3D246F08" w:rsidR="00A24A13" w:rsidRPr="004B21CD" w:rsidRDefault="00A24A13" w:rsidP="00A24A13">
      <w:pPr>
        <w:rPr>
          <w:noProof/>
          <w:lang w:val="en-IE" w:eastAsia="fr-FR"/>
        </w:rPr>
      </w:pPr>
      <w:r w:rsidRPr="004B21CD">
        <w:rPr>
          <w:b/>
          <w:bCs/>
          <w:noProof/>
          <w:lang w:val="en-IE" w:eastAsia="fr-FR"/>
        </w:rPr>
        <w:t xml:space="preserve">The independent national regulatory authority, the Swedish Agency for the Media, is taking on an increasing number of responsibilities. </w:t>
      </w:r>
      <w:r w:rsidRPr="004B21CD">
        <w:rPr>
          <w:noProof/>
          <w:lang w:val="en-IE" w:eastAsia="fr-FR"/>
        </w:rPr>
        <w:t>In November 2025 the Government assigned the Swedish Agency for the Media a new mission to develop a regular survey to monitor threats, violence and harassment faced by journalists</w:t>
      </w:r>
      <w:r w:rsidRPr="004B21CD">
        <w:rPr>
          <w:rStyle w:val="FootnoteReference"/>
          <w:noProof/>
          <w:lang w:val="en-IE" w:eastAsia="fr-FR"/>
        </w:rPr>
        <w:footnoteReference w:id="104"/>
      </w:r>
      <w:r w:rsidRPr="004B21CD">
        <w:rPr>
          <w:noProof/>
          <w:lang w:val="en-IE" w:eastAsia="fr-FR"/>
        </w:rPr>
        <w:t xml:space="preserve">. The </w:t>
      </w:r>
      <w:r w:rsidR="009172E8">
        <w:rPr>
          <w:noProof/>
          <w:lang w:val="en-IE" w:eastAsia="fr-FR"/>
        </w:rPr>
        <w:t>assignment also included</w:t>
      </w:r>
      <w:r w:rsidRPr="004B21CD">
        <w:rPr>
          <w:noProof/>
          <w:lang w:val="en-IE" w:eastAsia="fr-FR"/>
        </w:rPr>
        <w:t xml:space="preserve"> designing </w:t>
      </w:r>
      <w:r w:rsidR="009172E8">
        <w:rPr>
          <w:noProof/>
          <w:lang w:val="en-IE" w:eastAsia="fr-FR"/>
        </w:rPr>
        <w:t>appropriate</w:t>
      </w:r>
      <w:r w:rsidRPr="004B21CD">
        <w:rPr>
          <w:noProof/>
          <w:lang w:val="en-IE" w:eastAsia="fr-FR"/>
        </w:rPr>
        <w:t xml:space="preserve"> methods to compare risks over time and identify partners for collaboration, and has transmitted to the Government a proposal setting out the methodology for conducting such future surveys. The Agency has also taken on expanded responsibilities under new laws that came into force in 2026</w:t>
      </w:r>
      <w:r w:rsidRPr="004B21CD">
        <w:rPr>
          <w:rStyle w:val="FootnoteReference"/>
          <w:noProof/>
          <w:lang w:val="en-IE" w:eastAsia="fr-FR"/>
        </w:rPr>
        <w:footnoteReference w:id="105"/>
      </w:r>
      <w:r w:rsidRPr="004B21CD">
        <w:rPr>
          <w:noProof/>
          <w:lang w:val="en-IE" w:eastAsia="fr-FR"/>
        </w:rPr>
        <w:t>. These include monitoring media ownership transparency, preventing market monopolies, maintaining a database of media owners, and protecting editorial independence. To support these efforts, the Government has increased the Agency’s budget for 2026, funding its new regulatory duties</w:t>
      </w:r>
      <w:r w:rsidRPr="004B21CD">
        <w:rPr>
          <w:rStyle w:val="FootnoteReference"/>
          <w:noProof/>
          <w:lang w:val="en-IE" w:eastAsia="fr-FR"/>
        </w:rPr>
        <w:footnoteReference w:id="106"/>
      </w:r>
      <w:r w:rsidRPr="004B21CD">
        <w:rPr>
          <w:noProof/>
          <w:lang w:val="en-IE" w:eastAsia="fr-FR"/>
        </w:rPr>
        <w:t>. The Agency currently considers its resources sufficient to carry out these tasks</w:t>
      </w:r>
      <w:r w:rsidRPr="004B21CD">
        <w:rPr>
          <w:rStyle w:val="FootnoteReference"/>
          <w:noProof/>
          <w:lang w:val="en-IE" w:eastAsia="fr-FR"/>
        </w:rPr>
        <w:footnoteReference w:id="107"/>
      </w:r>
      <w:r w:rsidRPr="004B21CD">
        <w:rPr>
          <w:noProof/>
          <w:lang w:val="en-IE" w:eastAsia="fr-FR"/>
        </w:rPr>
        <w:t>. The MPM 2025 continues to indicate a very low risk regarding the independence and effectiveness of the media authority</w:t>
      </w:r>
      <w:r w:rsidRPr="004B21CD">
        <w:rPr>
          <w:rStyle w:val="FootnoteReference"/>
          <w:noProof/>
          <w:lang w:val="en-IE" w:eastAsia="fr-FR"/>
        </w:rPr>
        <w:footnoteReference w:id="108"/>
      </w:r>
      <w:r w:rsidRPr="004B21CD">
        <w:rPr>
          <w:noProof/>
          <w:lang w:val="en-IE" w:eastAsia="fr-FR"/>
        </w:rPr>
        <w:t>.</w:t>
      </w:r>
    </w:p>
    <w:p w14:paraId="2CC51D89" w14:textId="5E78D141" w:rsidR="00A24A13" w:rsidRPr="004B21CD" w:rsidRDefault="00A24A13" w:rsidP="00A24A13">
      <w:pPr>
        <w:rPr>
          <w:noProof/>
          <w:lang w:val="en-IE" w:eastAsia="fr-FR"/>
        </w:rPr>
      </w:pPr>
      <w:r w:rsidRPr="004B21CD">
        <w:rPr>
          <w:b/>
          <w:bCs/>
          <w:noProof/>
          <w:lang w:val="en-IE" w:eastAsia="fr-FR"/>
        </w:rPr>
        <w:t xml:space="preserve">Sweden’s new Public Service Act came into force in December 2025, updating rules and funding for public service media. </w:t>
      </w:r>
      <w:r w:rsidRPr="004B21CD">
        <w:rPr>
          <w:noProof/>
          <w:lang w:val="en-IE" w:eastAsia="fr-FR"/>
        </w:rPr>
        <w:t>The Public Service Act took effect in December 2025, updating the rules for public service media</w:t>
      </w:r>
      <w:r w:rsidRPr="004B21CD">
        <w:rPr>
          <w:rStyle w:val="FootnoteReference"/>
          <w:noProof/>
          <w:lang w:val="en-IE" w:eastAsia="fr-FR"/>
        </w:rPr>
        <w:footnoteReference w:id="109"/>
      </w:r>
      <w:r w:rsidRPr="004B21CD">
        <w:rPr>
          <w:noProof/>
          <w:lang w:val="en-IE" w:eastAsia="fr-FR"/>
        </w:rPr>
        <w:t>. It clarifies their mission, funding and leadership appointments, bringing provisions on public service into a single, clearer framework</w:t>
      </w:r>
      <w:r w:rsidRPr="004B21CD">
        <w:rPr>
          <w:rStyle w:val="FootnoteReference"/>
          <w:noProof/>
          <w:lang w:val="en-IE" w:eastAsia="fr-FR"/>
        </w:rPr>
        <w:footnoteReference w:id="110"/>
      </w:r>
      <w:r w:rsidRPr="004B21CD">
        <w:rPr>
          <w:noProof/>
          <w:lang w:val="en-IE" w:eastAsia="fr-FR"/>
        </w:rPr>
        <w:t>. In December 2025, the Government</w:t>
      </w:r>
      <w:r w:rsidR="003C3896">
        <w:rPr>
          <w:noProof/>
          <w:lang w:val="en-IE" w:eastAsia="fr-FR"/>
        </w:rPr>
        <w:t xml:space="preserve"> decided on the public service mission for the period 2026-2033</w:t>
      </w:r>
      <w:r w:rsidRPr="004B21CD">
        <w:rPr>
          <w:noProof/>
          <w:lang w:val="en-IE" w:eastAsia="fr-FR"/>
        </w:rPr>
        <w:t xml:space="preserve">, including how much funding </w:t>
      </w:r>
      <w:r w:rsidR="00102F9E">
        <w:rPr>
          <w:noProof/>
          <w:lang w:val="en-IE" w:eastAsia="fr-FR"/>
        </w:rPr>
        <w:t>the public service companies</w:t>
      </w:r>
      <w:r w:rsidR="00102F9E" w:rsidRPr="004B21CD">
        <w:rPr>
          <w:noProof/>
          <w:lang w:val="en-IE" w:eastAsia="fr-FR"/>
        </w:rPr>
        <w:t xml:space="preserve"> </w:t>
      </w:r>
      <w:r w:rsidRPr="004B21CD">
        <w:rPr>
          <w:noProof/>
          <w:lang w:val="en-IE" w:eastAsia="fr-FR"/>
        </w:rPr>
        <w:t>will receive, following guidelines set by Parliament</w:t>
      </w:r>
      <w:r w:rsidRPr="004B21CD">
        <w:rPr>
          <w:rStyle w:val="FootnoteReference"/>
          <w:noProof/>
          <w:lang w:val="en-IE" w:eastAsia="fr-FR"/>
        </w:rPr>
        <w:footnoteReference w:id="111"/>
      </w:r>
      <w:r w:rsidRPr="004B21CD">
        <w:rPr>
          <w:noProof/>
          <w:lang w:val="en-IE" w:eastAsia="fr-FR"/>
        </w:rPr>
        <w:t>. While the reform’s goals are generally supported</w:t>
      </w:r>
      <w:r w:rsidRPr="004B21CD">
        <w:rPr>
          <w:rStyle w:val="FootnoteReference"/>
          <w:noProof/>
          <w:lang w:val="en-IE" w:eastAsia="fr-FR"/>
        </w:rPr>
        <w:footnoteReference w:id="112"/>
      </w:r>
      <w:r w:rsidRPr="004B21CD">
        <w:rPr>
          <w:noProof/>
          <w:lang w:val="en-IE" w:eastAsia="fr-FR"/>
        </w:rPr>
        <w:t>, Swedish public service media continue to express some concerns about financial sustainability and risks to their independence</w:t>
      </w:r>
      <w:r w:rsidRPr="004B21CD">
        <w:rPr>
          <w:rStyle w:val="FootnoteReference"/>
          <w:noProof/>
          <w:lang w:val="en-IE" w:eastAsia="fr-FR"/>
        </w:rPr>
        <w:footnoteReference w:id="113"/>
      </w:r>
      <w:r w:rsidRPr="004B21CD">
        <w:rPr>
          <w:noProof/>
          <w:lang w:val="en-IE" w:eastAsia="fr-FR"/>
        </w:rPr>
        <w:t>. Stakeholders emphasise that rising costs for security, resilience, and distribution are straining budgets, especially as public broadcasters must maintain both traditional terrestrial broadcasts and digital services, while many commercial broadcasters have moved to providing their services only online</w:t>
      </w:r>
      <w:r w:rsidRPr="004B21CD">
        <w:rPr>
          <w:rStyle w:val="FootnoteReference"/>
          <w:noProof/>
          <w:lang w:val="en-IE" w:eastAsia="fr-FR"/>
        </w:rPr>
        <w:footnoteReference w:id="114"/>
      </w:r>
      <w:r w:rsidRPr="004B21CD">
        <w:rPr>
          <w:noProof/>
          <w:lang w:val="en-IE" w:eastAsia="fr-FR"/>
        </w:rPr>
        <w:t>. Only the public broadcasters Swedish Radio and Swedish Television are now using the terrestrial network covering all the country.</w:t>
      </w:r>
      <w:r w:rsidRPr="004B21CD">
        <w:rPr>
          <w:noProof/>
          <w:lang w:eastAsia="fr-FR"/>
        </w:rPr>
        <w:t xml:space="preserve"> Some stakeholders note structural challenges in the media sector, including the shift of advertising revenues away from traditional journalism to global digital platforms</w:t>
      </w:r>
      <w:r w:rsidRPr="004B21CD">
        <w:rPr>
          <w:rStyle w:val="FootnoteReference"/>
          <w:noProof/>
          <w:lang w:val="en-IE" w:eastAsia="fr-FR"/>
        </w:rPr>
        <w:footnoteReference w:id="115"/>
      </w:r>
      <w:r w:rsidRPr="004B21CD">
        <w:rPr>
          <w:noProof/>
          <w:lang w:eastAsia="fr-FR"/>
        </w:rPr>
        <w:t>, as well as the growing concentration of media ownership in larger corporate groups</w:t>
      </w:r>
      <w:r w:rsidRPr="004B21CD">
        <w:rPr>
          <w:rStyle w:val="FootnoteReference"/>
          <w:noProof/>
          <w:lang w:val="en-IE" w:eastAsia="fr-FR"/>
        </w:rPr>
        <w:footnoteReference w:id="116"/>
      </w:r>
      <w:r w:rsidRPr="004B21CD">
        <w:rPr>
          <w:noProof/>
          <w:lang w:eastAsia="fr-FR"/>
        </w:rPr>
        <w:t>. The Swedish Agency for the Media has increased support for news media in areas with limited local coverage</w:t>
      </w:r>
      <w:r w:rsidRPr="004B21CD">
        <w:rPr>
          <w:rStyle w:val="FootnoteReference"/>
          <w:noProof/>
          <w:lang w:val="en-IE" w:eastAsia="fr-FR"/>
        </w:rPr>
        <w:footnoteReference w:id="117"/>
      </w:r>
      <w:r w:rsidRPr="004B21CD">
        <w:rPr>
          <w:noProof/>
          <w:lang w:eastAsia="fr-FR"/>
        </w:rPr>
        <w:t>.</w:t>
      </w:r>
    </w:p>
    <w:p w14:paraId="210ACCA4" w14:textId="77777777" w:rsidR="00A24A13" w:rsidRPr="004B21CD" w:rsidRDefault="00A24A13" w:rsidP="00A24A13">
      <w:pPr>
        <w:rPr>
          <w:noProof/>
          <w:lang w:val="en-IE" w:eastAsia="fr-FR"/>
        </w:rPr>
      </w:pPr>
      <w:r w:rsidRPr="004B21CD">
        <w:rPr>
          <w:b/>
          <w:bCs/>
          <w:noProof/>
          <w:lang w:val="en-IE" w:eastAsia="fr-FR"/>
        </w:rPr>
        <w:t>The amended framework for commercial radio channels now applies, harmonising the regime for analogue and digital commercial radio licenses.</w:t>
      </w:r>
      <w:r w:rsidRPr="004B21CD">
        <w:rPr>
          <w:noProof/>
          <w:lang w:val="en-IE" w:eastAsia="fr-FR"/>
        </w:rPr>
        <w:t xml:space="preserve"> An amendment to the Radio and Television Act came into effect in November 2025, making the rules for licensing and broadcasting the same for analogue and digital commercial radio</w:t>
      </w:r>
      <w:r w:rsidRPr="004B21CD">
        <w:rPr>
          <w:rStyle w:val="FootnoteReference"/>
          <w:noProof/>
          <w:lang w:val="en-IE" w:eastAsia="fr-FR"/>
        </w:rPr>
        <w:footnoteReference w:id="118"/>
      </w:r>
      <w:r w:rsidRPr="004B21CD">
        <w:rPr>
          <w:noProof/>
          <w:lang w:val="en-IE" w:eastAsia="fr-FR"/>
        </w:rPr>
        <w:t>. The broadcasting fee for analogue commercial radio has been replaced with an annual fee based on advertising revenue. The objective of the amendment is to strengthen the long-term viability of commercial radio while fostering independent media. Swedish media stakeholders have generally supported these changes</w:t>
      </w:r>
      <w:r w:rsidRPr="004B21CD">
        <w:rPr>
          <w:rStyle w:val="FootnoteReference"/>
          <w:noProof/>
          <w:lang w:val="en-IE" w:eastAsia="fr-FR"/>
        </w:rPr>
        <w:footnoteReference w:id="119"/>
      </w:r>
      <w:r w:rsidRPr="004B21CD">
        <w:rPr>
          <w:noProof/>
          <w:lang w:val="en-IE" w:eastAsia="fr-FR"/>
        </w:rPr>
        <w:t>. On 22 January 2026, the Government decided not to proceed with its legislative proposal that would have allowed the revocation of broadcasting licenses on national security grounds</w:t>
      </w:r>
      <w:r w:rsidRPr="004B21CD">
        <w:rPr>
          <w:rStyle w:val="FootnoteReference"/>
          <w:noProof/>
          <w:lang w:val="en-IE" w:eastAsia="fr-FR"/>
        </w:rPr>
        <w:footnoteReference w:id="120"/>
      </w:r>
      <w:r w:rsidRPr="004B21CD">
        <w:rPr>
          <w:noProof/>
          <w:lang w:val="en-IE" w:eastAsia="fr-FR"/>
        </w:rPr>
        <w:t>. The Government reasoned that such a measure would amount to a disproportionate restriction of freedom of expression and unlikely to be effective, since harmful actors could still broadcast via satellite or other means even if their terrestrial license was revoked</w:t>
      </w:r>
      <w:r w:rsidRPr="004B21CD">
        <w:rPr>
          <w:rStyle w:val="FootnoteReference"/>
          <w:noProof/>
          <w:lang w:val="en-IE" w:eastAsia="fr-FR"/>
        </w:rPr>
        <w:footnoteReference w:id="121"/>
      </w:r>
      <w:r w:rsidRPr="004B21CD">
        <w:rPr>
          <w:noProof/>
          <w:lang w:val="en-IE" w:eastAsia="fr-FR"/>
        </w:rPr>
        <w:t>.</w:t>
      </w:r>
    </w:p>
    <w:p w14:paraId="36596813" w14:textId="77777777" w:rsidR="00A24A13" w:rsidRPr="004B21CD" w:rsidRDefault="00A24A13" w:rsidP="00A24A13">
      <w:pPr>
        <w:rPr>
          <w:noProof/>
          <w:lang w:val="en-IE" w:eastAsia="fr-FR"/>
        </w:rPr>
      </w:pPr>
      <w:r w:rsidRPr="004B21CD">
        <w:rPr>
          <w:b/>
          <w:bCs/>
          <w:noProof/>
          <w:lang w:val="en-IE" w:eastAsia="fr-FR"/>
        </w:rPr>
        <w:t xml:space="preserve">Changes to Sweden’s public access laws aimed at addressing privacy and security needs, prompted reactions regarding their impact on transparency. </w:t>
      </w:r>
      <w:r w:rsidRPr="004B21CD">
        <w:rPr>
          <w:noProof/>
          <w:lang w:val="en-IE" w:eastAsia="fr-FR"/>
        </w:rPr>
        <w:t>On 2 December 2025, the Swedish Government proposed an amendment to the Freedom of the Press Act, preventing public access to data stored on digital devices seized during criminal investigations, though once formally included in cases files, the data would then become accessible under public access laws</w:t>
      </w:r>
      <w:r w:rsidRPr="004B21CD">
        <w:rPr>
          <w:rStyle w:val="FootnoteReference"/>
          <w:noProof/>
          <w:lang w:val="en-IE" w:eastAsia="fr-FR"/>
        </w:rPr>
        <w:footnoteReference w:id="122"/>
      </w:r>
      <w:r w:rsidRPr="004B21CD">
        <w:rPr>
          <w:noProof/>
          <w:lang w:val="en-IE" w:eastAsia="fr-FR"/>
        </w:rPr>
        <w:t>. The Government considers that this proposed change will align public access rights with suspects’ rights and strengthens privacy, with the change set to take effect on 1 January 2027, if approved</w:t>
      </w:r>
      <w:r w:rsidRPr="004B21CD">
        <w:rPr>
          <w:rStyle w:val="FootnoteReference"/>
          <w:noProof/>
          <w:lang w:val="en-IE" w:eastAsia="fr-FR"/>
        </w:rPr>
        <w:footnoteReference w:id="123"/>
      </w:r>
      <w:r w:rsidRPr="004B21CD">
        <w:rPr>
          <w:noProof/>
          <w:lang w:val="en-IE" w:eastAsia="fr-FR"/>
        </w:rPr>
        <w:t>. Meanwhile, the Public Access to Information and Secrecy Act is under frequent amendment</w:t>
      </w:r>
      <w:r w:rsidRPr="004B21CD">
        <w:rPr>
          <w:rStyle w:val="FootnoteReference"/>
          <w:noProof/>
          <w:lang w:val="en-IE" w:eastAsia="fr-FR"/>
        </w:rPr>
        <w:footnoteReference w:id="124"/>
      </w:r>
      <w:r w:rsidRPr="004B21CD">
        <w:rPr>
          <w:noProof/>
          <w:lang w:val="en-IE" w:eastAsia="fr-FR"/>
        </w:rPr>
        <w:t>, with recent changes expanding data-sharing between authorities for crime prevention and addressing NATO security requirements</w:t>
      </w:r>
      <w:r w:rsidRPr="004B21CD">
        <w:rPr>
          <w:rStyle w:val="FootnoteReference"/>
          <w:noProof/>
          <w:lang w:val="en-IE" w:eastAsia="fr-FR"/>
        </w:rPr>
        <w:footnoteReference w:id="125"/>
      </w:r>
      <w:r w:rsidRPr="004B21CD">
        <w:rPr>
          <w:noProof/>
          <w:lang w:val="en-IE" w:eastAsia="fr-FR"/>
        </w:rPr>
        <w:t>. Stakeholders have voiced concerns over growing legal restrictions and tighter access to information in practice, citing increased document classification making it harder to obtain public records</w:t>
      </w:r>
      <w:r w:rsidRPr="004B21CD">
        <w:rPr>
          <w:rStyle w:val="FootnoteReference"/>
          <w:noProof/>
          <w:lang w:val="en-IE" w:eastAsia="fr-FR"/>
        </w:rPr>
        <w:footnoteReference w:id="126"/>
      </w:r>
      <w:r w:rsidRPr="004B21CD">
        <w:rPr>
          <w:noProof/>
          <w:lang w:val="en-IE" w:eastAsia="fr-FR"/>
        </w:rPr>
        <w:t>. The Media Ombudsman observes that Sweden maintains a relatively high level of transparency</w:t>
      </w:r>
      <w:r w:rsidRPr="004B21CD">
        <w:rPr>
          <w:rStyle w:val="FootnoteReference"/>
          <w:noProof/>
          <w:lang w:val="en-IE" w:eastAsia="fr-FR"/>
        </w:rPr>
        <w:footnoteReference w:id="127"/>
      </w:r>
      <w:r w:rsidRPr="004B21CD">
        <w:rPr>
          <w:noProof/>
          <w:lang w:val="en-IE" w:eastAsia="fr-FR"/>
        </w:rPr>
        <w:t>.</w:t>
      </w:r>
    </w:p>
    <w:p w14:paraId="1EFA7918" w14:textId="4E7F22E9" w:rsidR="00A24A13" w:rsidRPr="004B21CD" w:rsidRDefault="00A24A13" w:rsidP="00A24A13">
      <w:pPr>
        <w:rPr>
          <w:noProof/>
        </w:rPr>
      </w:pPr>
      <w:bookmarkStart w:id="15" w:name="_Hlk225411260"/>
      <w:r w:rsidRPr="004B21CD">
        <w:rPr>
          <w:b/>
          <w:bCs/>
          <w:noProof/>
          <w:lang w:eastAsia="fr-FR"/>
        </w:rPr>
        <w:t xml:space="preserve">Sweden continues to provide a supportive environment for journalists, with high levels of public trust despite challenges in the evolving media landscape. </w:t>
      </w:r>
      <w:bookmarkEnd w:id="15"/>
      <w:r w:rsidRPr="004B21CD">
        <w:rPr>
          <w:noProof/>
          <w:lang w:eastAsia="fr-FR"/>
        </w:rPr>
        <w:t>The MPM 2026 continuous to assess the protection of freedom of expression as carrying a low-risk score in Sweden</w:t>
      </w:r>
      <w:r w:rsidRPr="004B21CD">
        <w:rPr>
          <w:rStyle w:val="FootnoteReference"/>
          <w:noProof/>
          <w:lang w:eastAsia="fr-FR"/>
        </w:rPr>
        <w:footnoteReference w:id="128"/>
      </w:r>
      <w:r w:rsidRPr="004B21CD">
        <w:rPr>
          <w:noProof/>
          <w:lang w:eastAsia="fr-FR"/>
        </w:rPr>
        <w:t>.</w:t>
      </w:r>
      <w:r w:rsidRPr="004B21CD">
        <w:rPr>
          <w:b/>
          <w:bCs/>
          <w:noProof/>
          <w:lang w:eastAsia="fr-FR"/>
        </w:rPr>
        <w:t xml:space="preserve"> </w:t>
      </w:r>
      <w:r w:rsidRPr="004B21CD">
        <w:rPr>
          <w:noProof/>
          <w:lang w:eastAsia="fr-FR"/>
        </w:rPr>
        <w:t>Since the publication of the 2025 Rule of Law Report, no new alerts were registered by the Council of Europe’s Platform to promote the protection of journalism and safety of journalists. The Mapping Media Freedom monitoring report has identified 4 incidents, 3 of which concern impersonation of journalists in AI-generated videos. Media stakeholders highlight that trust in Swedish media, including public service media, remains strong, with high audience numbers and broad reach</w:t>
      </w:r>
      <w:r w:rsidRPr="004B21CD">
        <w:rPr>
          <w:rStyle w:val="FootnoteReference"/>
          <w:noProof/>
          <w:lang w:eastAsia="fr-FR"/>
        </w:rPr>
        <w:footnoteReference w:id="129"/>
      </w:r>
      <w:r w:rsidRPr="004B21CD">
        <w:rPr>
          <w:noProof/>
          <w:lang w:eastAsia="fr-FR"/>
        </w:rPr>
        <w:t>. Stakeholders also consider that journalists face increasing criticism and political pressure</w:t>
      </w:r>
      <w:r w:rsidRPr="004B21CD">
        <w:rPr>
          <w:rStyle w:val="FootnoteReference"/>
          <w:noProof/>
          <w:lang w:eastAsia="fr-FR"/>
        </w:rPr>
        <w:footnoteReference w:id="130"/>
      </w:r>
      <w:r w:rsidRPr="004B21CD">
        <w:rPr>
          <w:noProof/>
          <w:lang w:eastAsia="fr-FR"/>
        </w:rPr>
        <w:t>, and some have called for more support in that regard</w:t>
      </w:r>
      <w:r w:rsidRPr="004B21CD">
        <w:rPr>
          <w:rStyle w:val="FootnoteReference"/>
          <w:noProof/>
          <w:lang w:eastAsia="fr-FR"/>
        </w:rPr>
        <w:footnoteReference w:id="131"/>
      </w:r>
      <w:r w:rsidRPr="004B21CD">
        <w:rPr>
          <w:noProof/>
          <w:lang w:eastAsia="fr-FR"/>
        </w:rPr>
        <w:t>. The Media Ombudsman notes that journalists at major media organisations have strong institutional and legal support</w:t>
      </w:r>
      <w:r w:rsidRPr="004B21CD">
        <w:rPr>
          <w:rStyle w:val="FootnoteReference"/>
          <w:noProof/>
          <w:lang w:eastAsia="fr-FR"/>
        </w:rPr>
        <w:footnoteReference w:id="132"/>
      </w:r>
      <w:r w:rsidRPr="004B21CD">
        <w:rPr>
          <w:noProof/>
          <w:lang w:eastAsia="fr-FR"/>
        </w:rPr>
        <w:t>. The Swedish Agency for the Media is working to improve journalists’ safety by organising events, publishing reports on the current situation and collaborating with stakeholders, including serving as a focal point for the Council of Europe’s journalist safety campaign</w:t>
      </w:r>
      <w:r w:rsidRPr="004B21CD">
        <w:rPr>
          <w:rStyle w:val="FootnoteReference"/>
          <w:noProof/>
          <w:lang w:eastAsia="fr-FR"/>
        </w:rPr>
        <w:footnoteReference w:id="133"/>
      </w:r>
      <w:r w:rsidRPr="004B21CD">
        <w:rPr>
          <w:noProof/>
          <w:lang w:eastAsia="fr-FR"/>
        </w:rPr>
        <w:t xml:space="preserve">. The </w:t>
      </w:r>
      <w:r w:rsidR="006309BC">
        <w:rPr>
          <w:noProof/>
          <w:lang w:eastAsia="fr-FR"/>
        </w:rPr>
        <w:t>legislation</w:t>
      </w:r>
      <w:r w:rsidR="006309BC" w:rsidRPr="004B21CD">
        <w:rPr>
          <w:noProof/>
          <w:lang w:eastAsia="fr-FR"/>
        </w:rPr>
        <w:t xml:space="preserve"> </w:t>
      </w:r>
      <w:r w:rsidRPr="004B21CD">
        <w:rPr>
          <w:noProof/>
          <w:lang w:eastAsia="fr-FR"/>
        </w:rPr>
        <w:t>with the aim to transpose the EU Anti-SLAPP Directive has been adopted and covers cross-border cases</w:t>
      </w:r>
      <w:r w:rsidRPr="004B21CD">
        <w:rPr>
          <w:rStyle w:val="FootnoteReference"/>
          <w:noProof/>
          <w:lang w:eastAsia="fr-FR"/>
        </w:rPr>
        <w:footnoteReference w:id="134"/>
      </w:r>
      <w:r w:rsidRPr="004B21CD">
        <w:rPr>
          <w:noProof/>
          <w:lang w:eastAsia="fr-FR"/>
        </w:rPr>
        <w:t xml:space="preserve">. </w:t>
      </w:r>
    </w:p>
    <w:p w14:paraId="0A045F8B" w14:textId="77777777" w:rsidR="00A24A13" w:rsidRPr="004B21CD" w:rsidRDefault="00A24A13" w:rsidP="00E643CA">
      <w:pPr>
        <w:pStyle w:val="Heading1"/>
        <w:numPr>
          <w:ilvl w:val="0"/>
          <w:numId w:val="40"/>
        </w:numPr>
        <w:spacing w:before="0"/>
        <w:rPr>
          <w:noProof/>
          <w:u w:val="single"/>
        </w:rPr>
      </w:pPr>
      <w:r w:rsidRPr="004B21CD">
        <w:rPr>
          <w:noProof/>
          <w:u w:val="single"/>
        </w:rPr>
        <w:t xml:space="preserve">Other Institutional Issues related to Checks and Balances </w:t>
      </w:r>
    </w:p>
    <w:p w14:paraId="64D21875" w14:textId="26C75B26" w:rsidR="00A24A13" w:rsidRPr="004B21CD" w:rsidRDefault="00A24A13" w:rsidP="00A24A13">
      <w:pPr>
        <w:rPr>
          <w:noProof/>
          <w:lang w:val="en-IE"/>
        </w:rPr>
      </w:pPr>
      <w:r w:rsidRPr="004B21CD">
        <w:rPr>
          <w:b/>
          <w:noProof/>
          <w:szCs w:val="24"/>
          <w:lang w:val="en-IE"/>
        </w:rPr>
        <w:t>Some stakeholders continue to express concerns that the accelerated pace of legislative preparatory work poses challenges to public participation and may in certain cases</w:t>
      </w:r>
      <w:r w:rsidRPr="004B21CD">
        <w:rPr>
          <w:b/>
          <w:bCs/>
          <w:noProof/>
          <w:szCs w:val="24"/>
          <w:lang w:val="en-IE"/>
        </w:rPr>
        <w:t xml:space="preserve"> </w:t>
      </w:r>
      <w:r w:rsidRPr="004B21CD">
        <w:rPr>
          <w:b/>
          <w:noProof/>
          <w:szCs w:val="24"/>
          <w:lang w:val="en-IE"/>
        </w:rPr>
        <w:t>adversely</w:t>
      </w:r>
      <w:r w:rsidRPr="004B21CD">
        <w:rPr>
          <w:b/>
          <w:bCs/>
          <w:noProof/>
          <w:szCs w:val="24"/>
          <w:lang w:val="en-IE"/>
        </w:rPr>
        <w:t xml:space="preserve"> </w:t>
      </w:r>
      <w:r w:rsidRPr="004B21CD">
        <w:rPr>
          <w:b/>
          <w:noProof/>
          <w:szCs w:val="24"/>
          <w:lang w:val="en-IE"/>
        </w:rPr>
        <w:t>affect</w:t>
      </w:r>
      <w:r w:rsidRPr="004B21CD">
        <w:rPr>
          <w:b/>
          <w:bCs/>
          <w:noProof/>
          <w:szCs w:val="24"/>
          <w:lang w:val="en-IE"/>
        </w:rPr>
        <w:t xml:space="preserve"> </w:t>
      </w:r>
      <w:r w:rsidRPr="004B21CD">
        <w:rPr>
          <w:b/>
          <w:noProof/>
          <w:szCs w:val="24"/>
          <w:lang w:val="en-IE"/>
        </w:rPr>
        <w:t>the quality of</w:t>
      </w:r>
      <w:r w:rsidRPr="004B21CD">
        <w:rPr>
          <w:b/>
          <w:bCs/>
          <w:noProof/>
          <w:szCs w:val="24"/>
          <w:lang w:val="en-IE"/>
        </w:rPr>
        <w:t xml:space="preserve"> </w:t>
      </w:r>
      <w:r w:rsidRPr="004B21CD">
        <w:rPr>
          <w:b/>
          <w:noProof/>
          <w:szCs w:val="24"/>
          <w:lang w:val="en-IE"/>
        </w:rPr>
        <w:t>legislation</w:t>
      </w:r>
      <w:r w:rsidRPr="004B21CD">
        <w:rPr>
          <w:rStyle w:val="FootnoteReference"/>
          <w:b/>
          <w:noProof/>
          <w:szCs w:val="24"/>
          <w:lang w:val="en-IE"/>
        </w:rPr>
        <w:footnoteReference w:id="135"/>
      </w:r>
      <w:r w:rsidRPr="004B21CD">
        <w:rPr>
          <w:b/>
          <w:noProof/>
          <w:szCs w:val="24"/>
          <w:lang w:val="en-IE"/>
        </w:rPr>
        <w:t>.</w:t>
      </w:r>
      <w:r w:rsidRPr="004B21CD">
        <w:rPr>
          <w:b/>
          <w:bCs/>
          <w:noProof/>
          <w:szCs w:val="24"/>
          <w:lang w:val="en-IE"/>
        </w:rPr>
        <w:t xml:space="preserve"> </w:t>
      </w:r>
      <w:r w:rsidRPr="004B21CD">
        <w:rPr>
          <w:noProof/>
          <w:szCs w:val="24"/>
          <w:lang w:val="en-IE"/>
        </w:rPr>
        <w:t>In 2025, the Government launched 334 public consultations on legislative initiatives. The average deadline for these public consultations was 12.6 weeks</w:t>
      </w:r>
      <w:r w:rsidRPr="004B21CD">
        <w:rPr>
          <w:rStyle w:val="FootnoteReference"/>
          <w:noProof/>
          <w:szCs w:val="24"/>
          <w:lang w:val="en-IE"/>
        </w:rPr>
        <w:footnoteReference w:id="136"/>
      </w:r>
      <w:r w:rsidRPr="004B21CD">
        <w:rPr>
          <w:noProof/>
          <w:szCs w:val="24"/>
          <w:lang w:val="en-IE"/>
        </w:rPr>
        <w:t>.</w:t>
      </w:r>
      <w:r w:rsidRPr="004B21CD">
        <w:rPr>
          <w:noProof/>
          <w:lang w:val="en-IE"/>
        </w:rPr>
        <w:t xml:space="preserve"> </w:t>
      </w:r>
      <w:r w:rsidRPr="004B21CD">
        <w:rPr>
          <w:noProof/>
          <w:szCs w:val="24"/>
          <w:lang w:val="en-IE"/>
        </w:rPr>
        <w:t xml:space="preserve">Some civil society stakeholders have expressed concerns that the rapid pace of legislative developments makes it challenging to maintain a clear overview of initiatives across sectors, effectively </w:t>
      </w:r>
      <w:r w:rsidRPr="004B21CD">
        <w:rPr>
          <w:noProof/>
          <w:lang w:val="en-IE"/>
        </w:rPr>
        <w:t>limiting opportunities for stakeholder input</w:t>
      </w:r>
      <w:r w:rsidRPr="004B21CD">
        <w:rPr>
          <w:rStyle w:val="FootnoteReference"/>
          <w:noProof/>
          <w:lang w:val="en-IE"/>
        </w:rPr>
        <w:footnoteReference w:id="137"/>
      </w:r>
      <w:r w:rsidRPr="004B21CD">
        <w:rPr>
          <w:noProof/>
          <w:lang w:val="en-IE"/>
        </w:rPr>
        <w:t xml:space="preserve">. </w:t>
      </w:r>
      <w:r w:rsidRPr="004B21CD">
        <w:rPr>
          <w:noProof/>
          <w:szCs w:val="24"/>
          <w:lang w:val="en-IE"/>
        </w:rPr>
        <w:t>The Government also used shortened inquiry times for eight legislative initiatives considered urgent and politically important</w:t>
      </w:r>
      <w:r w:rsidRPr="004B21CD">
        <w:rPr>
          <w:rStyle w:val="FootnoteReference"/>
          <w:noProof/>
          <w:szCs w:val="24"/>
          <w:lang w:val="en-IE"/>
        </w:rPr>
        <w:footnoteReference w:id="138"/>
      </w:r>
      <w:r w:rsidRPr="004B21CD">
        <w:rPr>
          <w:noProof/>
          <w:szCs w:val="24"/>
          <w:lang w:val="en-IE"/>
        </w:rPr>
        <w:t xml:space="preserve">. </w:t>
      </w:r>
      <w:r w:rsidRPr="004B21CD">
        <w:rPr>
          <w:noProof/>
          <w:lang w:val="en-IE"/>
        </w:rPr>
        <w:t>In respect to constitutional checks, over the past year the Government submitted 142 legislative proposals to the Council on Legislation, which issued negative opinions in nine cases</w:t>
      </w:r>
      <w:r w:rsidRPr="004B21CD">
        <w:rPr>
          <w:rStyle w:val="FootnoteReference"/>
          <w:noProof/>
          <w:lang w:val="en-IE"/>
        </w:rPr>
        <w:footnoteReference w:id="139"/>
      </w:r>
      <w:r w:rsidRPr="004B21CD">
        <w:rPr>
          <w:noProof/>
          <w:lang w:val="en-IE"/>
        </w:rPr>
        <w:t>. Of these, four proposals were nevertheless submitted to Parliament without changes, three were submitted following partial adjustments, and two were fully revised before submission</w:t>
      </w:r>
      <w:r w:rsidRPr="004B21CD">
        <w:rPr>
          <w:rStyle w:val="FootnoteReference"/>
          <w:noProof/>
          <w:lang w:val="en-IE"/>
        </w:rPr>
        <w:footnoteReference w:id="140"/>
      </w:r>
      <w:r w:rsidRPr="004B21CD">
        <w:rPr>
          <w:noProof/>
          <w:lang w:val="en-IE"/>
        </w:rPr>
        <w:t>. The Council on Legislation has raised concerns that some legislation is prepared too hastily, limiting opportunities for stakeholder input and, in some cases, affecting the quality of the final legislation</w:t>
      </w:r>
      <w:r w:rsidRPr="004B21CD">
        <w:rPr>
          <w:rStyle w:val="FootnoteReference"/>
          <w:noProof/>
          <w:lang w:val="en-IE"/>
        </w:rPr>
        <w:footnoteReference w:id="141"/>
      </w:r>
      <w:r w:rsidRPr="004B21CD">
        <w:rPr>
          <w:noProof/>
          <w:lang w:val="en-IE"/>
        </w:rPr>
        <w:t>.</w:t>
      </w:r>
    </w:p>
    <w:p w14:paraId="49007674" w14:textId="77777777" w:rsidR="001363A6" w:rsidRPr="001D7FD1" w:rsidRDefault="001363A6" w:rsidP="001363A6">
      <w:pPr>
        <w:rPr>
          <w:bCs/>
          <w:noProof/>
          <w:szCs w:val="24"/>
          <w:lang w:val="en-US"/>
        </w:rPr>
      </w:pPr>
      <w:bookmarkStart w:id="16" w:name="_Hlk198135331"/>
      <w:r w:rsidRPr="137E28C8">
        <w:rPr>
          <w:b/>
          <w:bCs/>
          <w:noProof/>
          <w:lang w:val="en-IE"/>
        </w:rPr>
        <w:t>Work on legislative amendments to the Constitution, aimed at providing a framework to better deal with serious crises, is progressing</w:t>
      </w:r>
      <w:r>
        <w:rPr>
          <w:bCs/>
          <w:noProof/>
          <w:szCs w:val="24"/>
          <w:lang w:val="en-US"/>
        </w:rPr>
        <w:t xml:space="preserve">. </w:t>
      </w:r>
      <w:r w:rsidRPr="001D7FD1">
        <w:rPr>
          <w:bCs/>
          <w:noProof/>
          <w:szCs w:val="24"/>
          <w:lang w:val="en-US"/>
        </w:rPr>
        <w:t>In December 2025, the Parliament voted </w:t>
      </w:r>
      <w:r w:rsidRPr="003F108B">
        <w:rPr>
          <w:bCs/>
          <w:noProof/>
          <w:szCs w:val="24"/>
        </w:rPr>
        <w:t>to adopt</w:t>
      </w:r>
      <w:r w:rsidRPr="001D7FD1">
        <w:rPr>
          <w:bCs/>
          <w:noProof/>
          <w:szCs w:val="24"/>
        </w:rPr>
        <w:t xml:space="preserve"> the first decision on amendments to the Instrument of Government concerning constitutional preparedness</w:t>
      </w:r>
      <w:r>
        <w:rPr>
          <w:rStyle w:val="FootnoteReference"/>
          <w:bCs/>
          <w:noProof/>
          <w:szCs w:val="24"/>
        </w:rPr>
        <w:footnoteReference w:id="142"/>
      </w:r>
      <w:r>
        <w:rPr>
          <w:bCs/>
          <w:noProof/>
          <w:szCs w:val="24"/>
        </w:rPr>
        <w:t xml:space="preserve">. </w:t>
      </w:r>
      <w:r w:rsidRPr="001D7FD1">
        <w:rPr>
          <w:bCs/>
          <w:noProof/>
          <w:szCs w:val="24"/>
        </w:rPr>
        <w:t>The propos</w:t>
      </w:r>
      <w:r>
        <w:rPr>
          <w:bCs/>
          <w:noProof/>
          <w:szCs w:val="24"/>
        </w:rPr>
        <w:t>al</w:t>
      </w:r>
      <w:r w:rsidRPr="001D7FD1">
        <w:rPr>
          <w:bCs/>
          <w:noProof/>
          <w:szCs w:val="24"/>
        </w:rPr>
        <w:t xml:space="preserve"> includes amendments that will strengthen Parliament’s ability to convene in certain difficult situations and specific rules meaning that the Parliament, with a qualified majority of three-quarters of the voters, should be able to grant the government special powers to adopt provisions in certain crisis situations. Since the proposals contains constitutional amendments a second decision of identi</w:t>
      </w:r>
      <w:r>
        <w:rPr>
          <w:noProof/>
        </w:rPr>
        <w:t xml:space="preserve">cal </w:t>
      </w:r>
      <w:r w:rsidRPr="008A5DA8">
        <w:rPr>
          <w:bCs/>
          <w:noProof/>
          <w:szCs w:val="24"/>
        </w:rPr>
        <w:t>wording must be made by the Parliament after the parliamentary elections in the fall of 2026. The amendments are proposed to enter into force on 1 January 2027</w:t>
      </w:r>
      <w:r>
        <w:rPr>
          <w:rStyle w:val="FootnoteReference"/>
          <w:bCs/>
          <w:noProof/>
          <w:szCs w:val="24"/>
        </w:rPr>
        <w:footnoteReference w:id="143"/>
      </w:r>
      <w:r w:rsidRPr="008A5DA8">
        <w:rPr>
          <w:bCs/>
          <w:noProof/>
          <w:szCs w:val="24"/>
        </w:rPr>
        <w:t>.</w:t>
      </w:r>
    </w:p>
    <w:p w14:paraId="6B012CD9" w14:textId="70349384" w:rsidR="00A24A13" w:rsidRPr="004B21CD" w:rsidRDefault="00A24A13" w:rsidP="00A24A13">
      <w:pPr>
        <w:rPr>
          <w:noProof/>
          <w:lang w:val="en-IE"/>
        </w:rPr>
      </w:pPr>
      <w:r w:rsidRPr="004B21CD">
        <w:rPr>
          <w:b/>
          <w:bCs/>
          <w:noProof/>
          <w:lang w:eastAsia="fr-FR"/>
        </w:rPr>
        <w:t xml:space="preserve">More than two thirds of companies surveyed in Sweden express confidence in the effectiveness of investment protection. </w:t>
      </w:r>
      <w:r w:rsidRPr="004B21CD">
        <w:rPr>
          <w:rFonts w:eastAsia="Calibri"/>
          <w:noProof/>
        </w:rPr>
        <w:t>88% of companies are very or fairly confident that investments are protected by law and courts, a figure which has increased in comparison with 2025 (76%)</w:t>
      </w:r>
      <w:r w:rsidRPr="004B21CD">
        <w:rPr>
          <w:rFonts w:eastAsia="Calibri"/>
          <w:noProof/>
          <w:vertAlign w:val="superscript"/>
        </w:rPr>
        <w:footnoteReference w:id="144"/>
      </w:r>
      <w:r w:rsidRPr="004B21CD">
        <w:rPr>
          <w:rFonts w:eastAsia="Calibri"/>
          <w:noProof/>
        </w:rPr>
        <w:t>. As regards authorities relevant for economic operators, 82% of companies perceive the level of independence of the national competition authority (</w:t>
      </w:r>
      <w:r w:rsidRPr="004B21CD">
        <w:rPr>
          <w:noProof/>
          <w:lang w:eastAsia="en-IE"/>
        </w:rPr>
        <w:t>The Competition Authority</w:t>
      </w:r>
      <w:r w:rsidRPr="004B21CD">
        <w:rPr>
          <w:rFonts w:eastAsia="Calibri"/>
          <w:noProof/>
        </w:rPr>
        <w:t>) as very or fairly good</w:t>
      </w:r>
      <w:r w:rsidRPr="004B21CD">
        <w:rPr>
          <w:rFonts w:eastAsia="Calibri"/>
          <w:noProof/>
          <w:vertAlign w:val="superscript"/>
        </w:rPr>
        <w:footnoteReference w:id="145"/>
      </w:r>
      <w:r w:rsidRPr="004B21CD">
        <w:rPr>
          <w:rFonts w:eastAsia="Calibri"/>
          <w:noProof/>
        </w:rPr>
        <w:t xml:space="preserve">. </w:t>
      </w:r>
      <w:r w:rsidRPr="004B21CD">
        <w:rPr>
          <w:rFonts w:eastAsia="Calibri"/>
          <w:noProof/>
          <w14:ligatures w14:val="standardContextual"/>
        </w:rPr>
        <w:t>The Supreme Administrative Court has jurisdiction in some business-related cases, including in cases related to public procurement and economic regulation. A number of judicial mechanisms to improve efficiency are available in these cases, including the possibility to apply interim measures and to consolidate multiple appeals</w:t>
      </w:r>
      <w:r w:rsidRPr="004B21CD">
        <w:rPr>
          <w:rStyle w:val="FootnoteReference"/>
          <w:rFonts w:eastAsia="Calibri"/>
          <w:noProof/>
          <w14:ligatures w14:val="standardContextual"/>
        </w:rPr>
        <w:footnoteReference w:id="146"/>
      </w:r>
      <w:r w:rsidRPr="004B21CD">
        <w:rPr>
          <w:rFonts w:eastAsia="Calibri"/>
          <w:noProof/>
          <w14:ligatures w14:val="standardContextual"/>
        </w:rPr>
        <w:t>.</w:t>
      </w:r>
      <w:bookmarkEnd w:id="16"/>
    </w:p>
    <w:p w14:paraId="272273B3" w14:textId="7DCB4626" w:rsidR="00A24A13" w:rsidRPr="004B21CD" w:rsidRDefault="00A24A13" w:rsidP="00A24A13">
      <w:pPr>
        <w:rPr>
          <w:noProof/>
          <w:lang w:val="en-IE"/>
        </w:rPr>
      </w:pPr>
      <w:r w:rsidRPr="004B21CD">
        <w:rPr>
          <w:b/>
          <w:bCs/>
          <w:noProof/>
          <w:lang w:val="en-IE"/>
        </w:rPr>
        <w:t>On 1 January 2026, Sweden had no leading judgment of the European Court of Human Rights pending implementation, a decrease of one compared to the previous year</w:t>
      </w:r>
      <w:r w:rsidRPr="004B21CD">
        <w:rPr>
          <w:rStyle w:val="FootnoteReference"/>
          <w:b/>
          <w:bCs/>
          <w:noProof/>
        </w:rPr>
        <w:footnoteReference w:id="147"/>
      </w:r>
      <w:r w:rsidRPr="004B21CD">
        <w:rPr>
          <w:b/>
          <w:bCs/>
          <w:noProof/>
          <w:lang w:val="en-IE"/>
        </w:rPr>
        <w:t>.</w:t>
      </w:r>
      <w:r w:rsidRPr="004B21CD">
        <w:rPr>
          <w:noProof/>
          <w:lang w:val="en-IE"/>
        </w:rPr>
        <w:t xml:space="preserve"> The only remaining case concerning insufficient safeguards in bulk signals-intelligence gathering was closed by the Committee of Ministers in June 2025</w:t>
      </w:r>
      <w:r w:rsidRPr="004B21CD">
        <w:rPr>
          <w:rStyle w:val="FootnoteReference"/>
          <w:noProof/>
          <w:lang w:val="en-IE"/>
        </w:rPr>
        <w:footnoteReference w:id="148"/>
      </w:r>
      <w:r w:rsidRPr="004B21CD">
        <w:rPr>
          <w:noProof/>
          <w:lang w:val="en-IE"/>
        </w:rPr>
        <w:t>.</w:t>
      </w:r>
      <w:r w:rsidRPr="004B21CD">
        <w:rPr>
          <w:b/>
          <w:bCs/>
          <w:noProof/>
          <w:lang w:val="en-IE"/>
        </w:rPr>
        <w:t xml:space="preserve"> </w:t>
      </w:r>
      <w:r w:rsidRPr="004B21CD">
        <w:rPr>
          <w:noProof/>
          <w:lang w:val="en-IE"/>
        </w:rPr>
        <w:t>As regards the respect of payment deadlines, on 31 December 2025 there were no cases awaiting confirmation of payments (same as in 2024)</w:t>
      </w:r>
      <w:r w:rsidRPr="004B21CD">
        <w:rPr>
          <w:rStyle w:val="FootnoteReference"/>
          <w:noProof/>
        </w:rPr>
        <w:footnoteReference w:id="149"/>
      </w:r>
      <w:r w:rsidRPr="004B21CD">
        <w:rPr>
          <w:noProof/>
          <w:lang w:val="en-IE"/>
        </w:rPr>
        <w:t>.</w:t>
      </w:r>
      <w:r w:rsidRPr="004B21CD">
        <w:rPr>
          <w:b/>
          <w:bCs/>
          <w:noProof/>
          <w:lang w:val="en-IE"/>
        </w:rPr>
        <w:t xml:space="preserve"> </w:t>
      </w:r>
      <w:r w:rsidRPr="004B21CD">
        <w:rPr>
          <w:noProof/>
          <w:lang w:val="en-IE"/>
        </w:rPr>
        <w:t xml:space="preserve">By </w:t>
      </w:r>
      <w:r w:rsidR="00A375BD">
        <w:rPr>
          <w:noProof/>
          <w:lang w:val="en-IE"/>
        </w:rPr>
        <w:t>17</w:t>
      </w:r>
      <w:r w:rsidRPr="004B21CD">
        <w:rPr>
          <w:noProof/>
          <w:lang w:val="en-IE"/>
        </w:rPr>
        <w:t xml:space="preserve"> June 2026, the number of leading judgments pending implementation had remained</w:t>
      </w:r>
      <w:r w:rsidR="00A375BD">
        <w:rPr>
          <w:noProof/>
          <w:lang w:val="en-IE"/>
        </w:rPr>
        <w:t xml:space="preserve"> 0</w:t>
      </w:r>
      <w:r w:rsidRPr="004B21CD">
        <w:rPr>
          <w:rStyle w:val="FootnoteReference"/>
          <w:noProof/>
        </w:rPr>
        <w:footnoteReference w:id="150"/>
      </w:r>
      <w:r w:rsidRPr="004B21CD">
        <w:rPr>
          <w:noProof/>
          <w:lang w:val="en-IE"/>
        </w:rPr>
        <w:t>.</w:t>
      </w:r>
    </w:p>
    <w:p w14:paraId="6FBD5F09" w14:textId="6E9C5BE3" w:rsidR="00A24A13" w:rsidRPr="004B21CD" w:rsidRDefault="00A24A13" w:rsidP="00A24A13">
      <w:pPr>
        <w:rPr>
          <w:noProof/>
        </w:rPr>
      </w:pPr>
      <w:r w:rsidRPr="004B21CD">
        <w:rPr>
          <w:b/>
          <w:bCs/>
          <w:noProof/>
          <w:lang w:val="en-IE"/>
        </w:rPr>
        <w:t>The National Human Rights Institution and the Parliamentary Ombudsman continue to discharge their mandates effectively</w:t>
      </w:r>
      <w:r w:rsidRPr="004B21CD">
        <w:rPr>
          <w:rStyle w:val="FootnoteReference"/>
          <w:b/>
          <w:bCs/>
          <w:noProof/>
          <w:lang w:val="en-IE"/>
        </w:rPr>
        <w:footnoteReference w:id="151"/>
      </w:r>
      <w:r w:rsidRPr="004B21CD">
        <w:rPr>
          <w:b/>
          <w:bCs/>
          <w:noProof/>
          <w:lang w:val="en-IE"/>
        </w:rPr>
        <w:t xml:space="preserve">. </w:t>
      </w:r>
      <w:r w:rsidRPr="004B21CD">
        <w:rPr>
          <w:noProof/>
          <w:lang w:val="en-IE"/>
        </w:rPr>
        <w:t xml:space="preserve">The Swedish National Human Rights </w:t>
      </w:r>
      <w:r w:rsidRPr="00FB4AD7">
        <w:rPr>
          <w:noProof/>
          <w:szCs w:val="24"/>
          <w:lang w:val="en-IE"/>
        </w:rPr>
        <w:t xml:space="preserve">Institute </w:t>
      </w:r>
      <w:r w:rsidRPr="00F32703">
        <w:rPr>
          <w:rStyle w:val="CommentReference"/>
          <w:noProof/>
          <w:sz w:val="24"/>
          <w:szCs w:val="24"/>
        </w:rPr>
        <w:t xml:space="preserve">has been accredited </w:t>
      </w:r>
      <w:r w:rsidR="00FB4AD7">
        <w:rPr>
          <w:rStyle w:val="CommentReference"/>
          <w:noProof/>
          <w:sz w:val="24"/>
          <w:szCs w:val="24"/>
        </w:rPr>
        <w:t>with</w:t>
      </w:r>
      <w:r w:rsidRPr="004B21CD">
        <w:rPr>
          <w:rStyle w:val="CommentReference"/>
          <w:noProof/>
          <w:szCs w:val="24"/>
        </w:rPr>
        <w:t xml:space="preserve"> </w:t>
      </w:r>
      <w:r w:rsidRPr="004B21CD">
        <w:rPr>
          <w:noProof/>
        </w:rPr>
        <w:t>‘A’ status by the Global Alliance of National Human Rights Institutions (GANHRI) since November 2024</w:t>
      </w:r>
      <w:r w:rsidRPr="004B21CD">
        <w:rPr>
          <w:rStyle w:val="FootnoteReference"/>
          <w:noProof/>
        </w:rPr>
        <w:footnoteReference w:id="152"/>
      </w:r>
      <w:r w:rsidRPr="004B21CD">
        <w:rPr>
          <w:noProof/>
        </w:rPr>
        <w:t>.</w:t>
      </w:r>
      <w:r w:rsidRPr="004B21CD">
        <w:rPr>
          <w:rStyle w:val="FootnoteReference"/>
          <w:noProof/>
          <w:lang w:val="en-IE"/>
        </w:rPr>
        <w:t xml:space="preserve"> </w:t>
      </w:r>
      <w:r w:rsidRPr="004B21CD">
        <w:rPr>
          <w:noProof/>
          <w:lang w:val="en-IE"/>
        </w:rPr>
        <w:t>The Swedish National Humans Rights Institute considers that it has adequate funds to carry out its ongoing level of operations</w:t>
      </w:r>
      <w:r w:rsidRPr="004B21CD">
        <w:rPr>
          <w:rStyle w:val="FootnoteReference"/>
          <w:noProof/>
          <w:lang w:val="en-IE"/>
        </w:rPr>
        <w:footnoteReference w:id="153"/>
      </w:r>
      <w:r w:rsidRPr="004B21CD">
        <w:rPr>
          <w:noProof/>
          <w:lang w:val="en-IE"/>
        </w:rPr>
        <w:t>. In October 2025, the Government appointed two new members to the Institute’s Governing Board. The new members were nominated by universities and colleges in accordance with the provisions in the law governing the Institute</w:t>
      </w:r>
      <w:r w:rsidRPr="004B21CD">
        <w:rPr>
          <w:rStyle w:val="FootnoteReference"/>
          <w:noProof/>
          <w:lang w:val="en-IE"/>
        </w:rPr>
        <w:footnoteReference w:id="154"/>
      </w:r>
      <w:r w:rsidRPr="004B21CD">
        <w:rPr>
          <w:noProof/>
          <w:lang w:val="en-IE"/>
        </w:rPr>
        <w:t>. The Parliamentary Ombudsm</w:t>
      </w:r>
      <w:r w:rsidR="00754551">
        <w:rPr>
          <w:noProof/>
          <w:lang w:val="en-IE"/>
        </w:rPr>
        <w:t>a</w:t>
      </w:r>
      <w:r w:rsidRPr="004B21CD">
        <w:rPr>
          <w:noProof/>
          <w:lang w:val="en-IE"/>
        </w:rPr>
        <w:t>n consider that they have adequate resources and report good cooperation with public authorities as well as adequate follow-up to their recommendations</w:t>
      </w:r>
      <w:r w:rsidRPr="004B21CD">
        <w:rPr>
          <w:rStyle w:val="FootnoteReference"/>
          <w:noProof/>
          <w:lang w:val="en-IE"/>
        </w:rPr>
        <w:footnoteReference w:id="155"/>
      </w:r>
      <w:r w:rsidRPr="004B21CD">
        <w:rPr>
          <w:noProof/>
          <w:lang w:val="en-IE"/>
        </w:rPr>
        <w:t>. The Parliamentary Ombudsm</w:t>
      </w:r>
      <w:r w:rsidR="00754551">
        <w:rPr>
          <w:noProof/>
          <w:lang w:val="en-IE"/>
        </w:rPr>
        <w:t>a</w:t>
      </w:r>
      <w:r w:rsidRPr="004B21CD">
        <w:rPr>
          <w:noProof/>
          <w:lang w:val="en-IE"/>
        </w:rPr>
        <w:t>n reported a significant increase in complaints concerning general courts, mainly related to lengthy proceedings</w:t>
      </w:r>
      <w:r w:rsidRPr="004B21CD">
        <w:rPr>
          <w:rStyle w:val="FootnoteReference"/>
          <w:noProof/>
          <w:lang w:val="en-IE"/>
        </w:rPr>
        <w:footnoteReference w:id="156"/>
      </w:r>
      <w:r w:rsidRPr="004B21CD">
        <w:rPr>
          <w:noProof/>
          <w:lang w:val="en-IE"/>
        </w:rPr>
        <w:t>. No similar increase has been observed in administrative courts. In 2025, the complaints to the Parliamentary Ombudsm</w:t>
      </w:r>
      <w:r w:rsidR="00754551">
        <w:rPr>
          <w:noProof/>
          <w:lang w:val="en-IE"/>
        </w:rPr>
        <w:t>a</w:t>
      </w:r>
      <w:r w:rsidRPr="004B21CD">
        <w:rPr>
          <w:noProof/>
          <w:lang w:val="en-IE"/>
        </w:rPr>
        <w:t xml:space="preserve">n increased by around 33% </w:t>
      </w:r>
      <w:r w:rsidRPr="004B21CD">
        <w:rPr>
          <w:noProof/>
        </w:rPr>
        <w:t>to 15.369 in total, the highest number in the history of that body</w:t>
      </w:r>
      <w:r w:rsidRPr="004B21CD">
        <w:rPr>
          <w:rStyle w:val="FootnoteReference"/>
          <w:noProof/>
          <w:lang w:val="en-IE"/>
        </w:rPr>
        <w:footnoteReference w:id="157"/>
      </w:r>
      <w:r w:rsidRPr="004B21CD">
        <w:rPr>
          <w:noProof/>
          <w:lang w:val="en-IE"/>
        </w:rPr>
        <w:t>.</w:t>
      </w:r>
    </w:p>
    <w:p w14:paraId="4EF3C146" w14:textId="7F7DF59E" w:rsidR="00A24A13" w:rsidRPr="004B21CD" w:rsidRDefault="00A24A13" w:rsidP="00A24A13">
      <w:pPr>
        <w:rPr>
          <w:noProof/>
          <w:lang w:val="en-IE"/>
        </w:rPr>
      </w:pPr>
      <w:r w:rsidRPr="004B21CD">
        <w:rPr>
          <w:b/>
          <w:bCs/>
          <w:noProof/>
          <w:lang w:val="en-IE"/>
        </w:rPr>
        <w:t xml:space="preserve">Civic space remains open, although stakeholders have identified certain challenges in the practical implementation of the recently enacted legal framework for the funding and operation of civil society organisations. </w:t>
      </w:r>
      <w:r w:rsidRPr="004B21CD">
        <w:rPr>
          <w:noProof/>
          <w:lang w:val="en-IE"/>
        </w:rPr>
        <w:t>Sweden is considered to have an ‘open’ civic space by Civicus</w:t>
      </w:r>
      <w:r w:rsidRPr="004B21CD">
        <w:rPr>
          <w:rStyle w:val="FootnoteReference"/>
          <w:noProof/>
          <w:lang w:val="en-IE"/>
        </w:rPr>
        <w:footnoteReference w:id="158"/>
      </w:r>
      <w:r w:rsidRPr="004B21CD">
        <w:rPr>
          <w:noProof/>
          <w:lang w:val="en-IE"/>
        </w:rPr>
        <w:t>.</w:t>
      </w:r>
      <w:r w:rsidRPr="004B21CD">
        <w:rPr>
          <w:b/>
          <w:bCs/>
          <w:noProof/>
          <w:lang w:val="en-IE"/>
        </w:rPr>
        <w:t xml:space="preserve"> </w:t>
      </w:r>
      <w:r w:rsidRPr="004B21CD">
        <w:rPr>
          <w:noProof/>
          <w:lang w:val="en-IE"/>
        </w:rPr>
        <w:t>As of 1 January 2025, a new regulatory framework establishing a ‘democracy condition’</w:t>
      </w:r>
      <w:r w:rsidRPr="004B21CD">
        <w:rPr>
          <w:rStyle w:val="FootnoteReference"/>
          <w:noProof/>
          <w:lang w:val="en-IE"/>
        </w:rPr>
        <w:footnoteReference w:id="159"/>
      </w:r>
      <w:r w:rsidRPr="004B21CD">
        <w:rPr>
          <w:noProof/>
          <w:lang w:val="en-IE"/>
        </w:rPr>
        <w:t xml:space="preserve"> for state support to religious communities and for grants from the General Inheritance Fund came into effect. Efforts are ongoing to extend an equivalent condition across other funding schemes for civil society organisations</w:t>
      </w:r>
      <w:r w:rsidRPr="004B21CD">
        <w:rPr>
          <w:rStyle w:val="FootnoteReference"/>
          <w:noProof/>
          <w:lang w:val="en-IE"/>
        </w:rPr>
        <w:footnoteReference w:id="160"/>
      </w:r>
      <w:r w:rsidRPr="004B21CD">
        <w:rPr>
          <w:noProof/>
          <w:lang w:val="en-IE"/>
        </w:rPr>
        <w:t>. To support implementation, the Swedish Agency for Youth and Civil Society (MUCF) has been tasked by the Government with supporting both grant-awarding public bodies in applying the democracy condition and civil society organisations in understanding the new requirements.</w:t>
      </w:r>
      <w:r w:rsidRPr="004B21CD">
        <w:rPr>
          <w:noProof/>
        </w:rPr>
        <w:t xml:space="preserve"> Measures include </w:t>
      </w:r>
      <w:r w:rsidRPr="004B21CD">
        <w:rPr>
          <w:noProof/>
          <w:lang w:val="en-IE"/>
        </w:rPr>
        <w:t>providing guidance to both grant-awarding authorities and CSOs, including through dedicated information resources, training tools and stakeholder outreach activities</w:t>
      </w:r>
      <w:r w:rsidRPr="004B21CD">
        <w:rPr>
          <w:rStyle w:val="FootnoteReference"/>
          <w:noProof/>
          <w:lang w:val="en-IE"/>
        </w:rPr>
        <w:footnoteReference w:id="161"/>
      </w:r>
      <w:r w:rsidRPr="004B21CD">
        <w:rPr>
          <w:noProof/>
          <w:lang w:val="en-IE"/>
        </w:rPr>
        <w:t>. Stakeholders have expressed some concerns regarding the application and interpretation of the democracy condition</w:t>
      </w:r>
      <w:r w:rsidRPr="004B21CD">
        <w:rPr>
          <w:rStyle w:val="FootnoteReference"/>
          <w:noProof/>
          <w:lang w:val="en-IE"/>
        </w:rPr>
        <w:footnoteReference w:id="162"/>
      </w:r>
      <w:r w:rsidRPr="004B21CD">
        <w:rPr>
          <w:noProof/>
          <w:lang w:val="en-IE"/>
        </w:rPr>
        <w:t>. In March 2026, MUCF published a report on structured meetings with civil society organisations to gather feedback on its implementation.</w:t>
      </w:r>
      <w:r w:rsidRPr="004B21CD">
        <w:rPr>
          <w:noProof/>
        </w:rPr>
        <w:t xml:space="preserve"> </w:t>
      </w:r>
      <w:r w:rsidRPr="004B21CD">
        <w:rPr>
          <w:noProof/>
          <w:lang w:val="en-IE"/>
        </w:rPr>
        <w:t>The report noted concerns that several key concepts underpinning the democratic condition remain insufficiently defined, creating a risk of inconsistent interpretation by civil society organisations and inconsistent application by grant-giving authorities. Certain CSOs also highlighted concerns about increased administrative burden and uneven application across different authorities and levels of government</w:t>
      </w:r>
      <w:r w:rsidRPr="004B21CD">
        <w:rPr>
          <w:rStyle w:val="FootnoteReference"/>
          <w:noProof/>
          <w:lang w:val="en-IE"/>
        </w:rPr>
        <w:footnoteReference w:id="163"/>
      </w:r>
      <w:r w:rsidRPr="004B21CD">
        <w:rPr>
          <w:noProof/>
          <w:lang w:val="en-IE"/>
        </w:rPr>
        <w:t>. In parallel, additional public funding of EUR 6.85 million (SEK 74 million</w:t>
      </w:r>
      <w:r w:rsidRPr="004B21CD">
        <w:rPr>
          <w:rStyle w:val="CommentReference"/>
          <w:noProof/>
          <w:szCs w:val="24"/>
          <w:lang w:val="en-IE"/>
        </w:rPr>
        <w:t xml:space="preserve">) </w:t>
      </w:r>
      <w:r w:rsidRPr="004B21CD">
        <w:rPr>
          <w:noProof/>
          <w:lang w:val="en-IE"/>
        </w:rPr>
        <w:t>has been allocated to support security-enhancing measures for organisations exposed to threats, violence and harassment</w:t>
      </w:r>
      <w:r w:rsidRPr="004B21CD">
        <w:rPr>
          <w:rStyle w:val="FootnoteReference"/>
          <w:noProof/>
          <w:lang w:val="en-IE"/>
        </w:rPr>
        <w:footnoteReference w:id="164"/>
      </w:r>
      <w:r w:rsidRPr="004B21CD">
        <w:rPr>
          <w:noProof/>
          <w:lang w:val="en-IE"/>
        </w:rPr>
        <w:t>.</w:t>
      </w:r>
    </w:p>
    <w:p w14:paraId="784A6E92" w14:textId="77777777" w:rsidR="00A24A13" w:rsidRPr="004B21CD" w:rsidRDefault="00A24A13" w:rsidP="00A24A13">
      <w:pPr>
        <w:rPr>
          <w:b/>
          <w:noProof/>
          <w:szCs w:val="24"/>
          <w:lang w:val="en-IE"/>
        </w:rPr>
      </w:pPr>
    </w:p>
    <w:p w14:paraId="5A80D691" w14:textId="77777777" w:rsidR="00A24A13" w:rsidRPr="00705B8F" w:rsidRDefault="00A24A13" w:rsidP="00A24A13">
      <w:pPr>
        <w:pageBreakBefore/>
        <w:spacing w:after="120"/>
        <w:rPr>
          <w:b/>
          <w:noProof/>
          <w:sz w:val="22"/>
          <w:szCs w:val="18"/>
          <w:lang w:val="en-IE" w:eastAsia="en-GB"/>
        </w:rPr>
      </w:pPr>
      <w:r w:rsidRPr="00705B8F">
        <w:rPr>
          <w:b/>
          <w:noProof/>
          <w:sz w:val="22"/>
          <w:szCs w:val="18"/>
          <w:lang w:val="en-IE" w:eastAsia="en-GB"/>
        </w:rPr>
        <w:t>Annex I: List of sources in alphabetical order*</w:t>
      </w:r>
    </w:p>
    <w:p w14:paraId="10BFD4E1" w14:textId="7B359D8A" w:rsidR="00234C5B" w:rsidRPr="00F32703" w:rsidRDefault="00A24A13" w:rsidP="00A24A13">
      <w:pPr>
        <w:spacing w:after="120"/>
        <w:rPr>
          <w:i/>
          <w:noProof/>
          <w:sz w:val="22"/>
          <w:lang w:val="en-US" w:eastAsia="en-GB"/>
        </w:rPr>
      </w:pPr>
      <w:r w:rsidRPr="007C43F9">
        <w:rPr>
          <w:i/>
          <w:noProof/>
          <w:sz w:val="22"/>
          <w:szCs w:val="22"/>
          <w:lang w:val="en-IE" w:eastAsia="en-GB"/>
        </w:rPr>
        <w:t xml:space="preserve">* </w:t>
      </w:r>
      <w:r w:rsidRPr="007C43F9">
        <w:rPr>
          <w:i/>
          <w:noProof/>
          <w:sz w:val="22"/>
          <w:szCs w:val="22"/>
          <w:lang w:eastAsia="en-GB"/>
        </w:rPr>
        <w:t xml:space="preserve">The list of contributions received in the context of the consultation for the 2026 Rule of Law report can be found at </w:t>
      </w:r>
      <w:hyperlink r:id="rId22" w:history="1">
        <w:r w:rsidR="00FA767D" w:rsidRPr="00FA767D">
          <w:rPr>
            <w:rStyle w:val="Hyperlink"/>
            <w:i/>
            <w:noProof/>
            <w:sz w:val="22"/>
            <w:lang w:val="en-US" w:eastAsia="en-GB"/>
          </w:rPr>
          <w:t>https://commission.europa.eu/publications/2026-rule-law-report-targeted-stakeholder-consultation_en</w:t>
        </w:r>
      </w:hyperlink>
      <w:r w:rsidR="00FA767D" w:rsidRPr="00FA767D">
        <w:rPr>
          <w:i/>
          <w:noProof/>
          <w:sz w:val="22"/>
          <w:lang w:val="en-US" w:eastAsia="en-GB"/>
        </w:rPr>
        <w:t xml:space="preserve"> </w:t>
      </w:r>
    </w:p>
    <w:p w14:paraId="2A567283" w14:textId="77777777" w:rsidR="00234C5B" w:rsidRDefault="00234C5B" w:rsidP="00A24A13">
      <w:pPr>
        <w:spacing w:after="120"/>
        <w:rPr>
          <w:i/>
          <w:noProof/>
          <w:sz w:val="22"/>
          <w:szCs w:val="22"/>
          <w:lang w:eastAsia="en-GB"/>
        </w:rPr>
      </w:pPr>
      <w:r w:rsidRPr="00F32703">
        <w:rPr>
          <w:iCs/>
          <w:noProof/>
          <w:sz w:val="22"/>
          <w:szCs w:val="22"/>
          <w:lang w:eastAsia="en-GB"/>
        </w:rPr>
        <w:t>Centre for Media Pluralism and Media Freedom (202</w:t>
      </w:r>
      <w:r>
        <w:rPr>
          <w:iCs/>
          <w:noProof/>
          <w:sz w:val="22"/>
          <w:szCs w:val="22"/>
          <w:lang w:eastAsia="en-GB"/>
        </w:rPr>
        <w:t>6</w:t>
      </w:r>
      <w:r w:rsidRPr="00F32703">
        <w:rPr>
          <w:iCs/>
          <w:noProof/>
          <w:sz w:val="22"/>
          <w:szCs w:val="22"/>
          <w:lang w:eastAsia="en-GB"/>
        </w:rPr>
        <w:t>),</w:t>
      </w:r>
      <w:r w:rsidRPr="00646017">
        <w:rPr>
          <w:i/>
          <w:noProof/>
          <w:sz w:val="22"/>
          <w:szCs w:val="22"/>
          <w:lang w:eastAsia="en-GB"/>
        </w:rPr>
        <w:t xml:space="preserve"> Media </w:t>
      </w:r>
      <w:r>
        <w:rPr>
          <w:i/>
          <w:noProof/>
          <w:sz w:val="22"/>
          <w:szCs w:val="22"/>
          <w:lang w:eastAsia="en-GB"/>
        </w:rPr>
        <w:t>p</w:t>
      </w:r>
      <w:r w:rsidRPr="00646017">
        <w:rPr>
          <w:i/>
          <w:noProof/>
          <w:sz w:val="22"/>
          <w:szCs w:val="22"/>
          <w:lang w:eastAsia="en-GB"/>
        </w:rPr>
        <w:t xml:space="preserve">luralism </w:t>
      </w:r>
      <w:r>
        <w:rPr>
          <w:i/>
          <w:noProof/>
          <w:sz w:val="22"/>
          <w:szCs w:val="22"/>
          <w:lang w:eastAsia="en-GB"/>
        </w:rPr>
        <w:t>m</w:t>
      </w:r>
      <w:r w:rsidRPr="00646017">
        <w:rPr>
          <w:i/>
          <w:noProof/>
          <w:sz w:val="22"/>
          <w:szCs w:val="22"/>
          <w:lang w:eastAsia="en-GB"/>
        </w:rPr>
        <w:t>onitor 202</w:t>
      </w:r>
      <w:r>
        <w:rPr>
          <w:i/>
          <w:noProof/>
          <w:sz w:val="22"/>
          <w:szCs w:val="22"/>
          <w:lang w:eastAsia="en-GB"/>
        </w:rPr>
        <w:t>6.</w:t>
      </w:r>
    </w:p>
    <w:p w14:paraId="70B45947" w14:textId="56E14330" w:rsidR="00234C5B" w:rsidRDefault="00234C5B" w:rsidP="00A24A13">
      <w:pPr>
        <w:spacing w:after="120"/>
        <w:rPr>
          <w:i/>
          <w:noProof/>
          <w:sz w:val="22"/>
          <w:szCs w:val="22"/>
          <w:lang w:val="en-IE" w:eastAsia="en-GB"/>
        </w:rPr>
      </w:pPr>
      <w:r w:rsidRPr="007C43F9">
        <w:rPr>
          <w:iCs/>
          <w:noProof/>
          <w:sz w:val="22"/>
          <w:szCs w:val="22"/>
          <w:lang w:val="en-IE" w:eastAsia="en-GB"/>
        </w:rPr>
        <w:t xml:space="preserve">Civil Liberties Union for Europe (2026), </w:t>
      </w:r>
      <w:r w:rsidRPr="007C43F9">
        <w:rPr>
          <w:i/>
          <w:noProof/>
          <w:sz w:val="22"/>
          <w:szCs w:val="22"/>
          <w:lang w:val="en-IE" w:eastAsia="en-GB"/>
        </w:rPr>
        <w:t xml:space="preserve">Liberties </w:t>
      </w:r>
      <w:r>
        <w:rPr>
          <w:i/>
          <w:noProof/>
          <w:sz w:val="22"/>
          <w:szCs w:val="22"/>
          <w:lang w:val="en-IE" w:eastAsia="en-GB"/>
        </w:rPr>
        <w:t>r</w:t>
      </w:r>
      <w:r w:rsidRPr="007C43F9">
        <w:rPr>
          <w:i/>
          <w:noProof/>
          <w:sz w:val="22"/>
          <w:szCs w:val="22"/>
          <w:lang w:val="en-IE" w:eastAsia="en-GB"/>
        </w:rPr>
        <w:t xml:space="preserve">ule of </w:t>
      </w:r>
      <w:r>
        <w:rPr>
          <w:i/>
          <w:noProof/>
          <w:sz w:val="22"/>
          <w:szCs w:val="22"/>
          <w:lang w:val="en-IE" w:eastAsia="en-GB"/>
        </w:rPr>
        <w:t>l</w:t>
      </w:r>
      <w:r w:rsidRPr="007C43F9">
        <w:rPr>
          <w:i/>
          <w:noProof/>
          <w:sz w:val="22"/>
          <w:szCs w:val="22"/>
          <w:lang w:val="en-IE" w:eastAsia="en-GB"/>
        </w:rPr>
        <w:t xml:space="preserve">aw </w:t>
      </w:r>
      <w:r>
        <w:rPr>
          <w:i/>
          <w:noProof/>
          <w:sz w:val="22"/>
          <w:szCs w:val="22"/>
          <w:lang w:val="en-IE" w:eastAsia="en-GB"/>
        </w:rPr>
        <w:t>r</w:t>
      </w:r>
      <w:r w:rsidRPr="007C43F9">
        <w:rPr>
          <w:i/>
          <w:noProof/>
          <w:sz w:val="22"/>
          <w:szCs w:val="22"/>
          <w:lang w:val="en-IE" w:eastAsia="en-GB"/>
        </w:rPr>
        <w:t xml:space="preserve">eport 2026, </w:t>
      </w:r>
      <w:hyperlink r:id="rId23" w:history="1">
        <w:r w:rsidRPr="007C43F9">
          <w:rPr>
            <w:rStyle w:val="Hyperlink"/>
            <w:i/>
            <w:noProof/>
            <w:sz w:val="22"/>
            <w:szCs w:val="22"/>
            <w:lang w:val="en-IE" w:eastAsia="en-GB"/>
          </w:rPr>
          <w:t>https://www.liberties.eu/f/wtaqoq</w:t>
        </w:r>
      </w:hyperlink>
      <w:r w:rsidRPr="007C43F9">
        <w:rPr>
          <w:i/>
          <w:noProof/>
          <w:sz w:val="22"/>
          <w:szCs w:val="22"/>
          <w:lang w:val="en-IE" w:eastAsia="en-GB"/>
        </w:rPr>
        <w:t xml:space="preserve">. </w:t>
      </w:r>
    </w:p>
    <w:p w14:paraId="210118E3" w14:textId="3ABA5258" w:rsidR="00234C5B" w:rsidRDefault="00234C5B" w:rsidP="00A24A13">
      <w:pPr>
        <w:spacing w:after="120"/>
        <w:rPr>
          <w:iCs/>
          <w:noProof/>
          <w:sz w:val="22"/>
          <w:szCs w:val="22"/>
          <w:lang w:eastAsia="en-GB"/>
        </w:rPr>
      </w:pPr>
      <w:r w:rsidRPr="00F32703">
        <w:rPr>
          <w:iCs/>
          <w:noProof/>
          <w:sz w:val="22"/>
          <w:szCs w:val="22"/>
          <w:lang w:eastAsia="en-GB"/>
        </w:rPr>
        <w:t>Council of Europe (2026),</w:t>
      </w:r>
      <w:r w:rsidRPr="006F07C3">
        <w:rPr>
          <w:i/>
          <w:noProof/>
          <w:sz w:val="22"/>
          <w:szCs w:val="22"/>
          <w:lang w:eastAsia="en-GB"/>
        </w:rPr>
        <w:t> </w:t>
      </w:r>
      <w:r w:rsidRPr="006F07C3">
        <w:rPr>
          <w:i/>
          <w:iCs/>
          <w:noProof/>
          <w:sz w:val="22"/>
          <w:szCs w:val="22"/>
          <w:lang w:eastAsia="en-GB"/>
        </w:rPr>
        <w:t>Supervision of the execution of judgments decisions of the European Court of Human Rights – 19th Annual Report of the Committee of Ministers – 2025,</w:t>
      </w:r>
      <w:r w:rsidRPr="006F07C3">
        <w:rPr>
          <w:i/>
          <w:noProof/>
          <w:sz w:val="22"/>
          <w:szCs w:val="22"/>
          <w:lang w:eastAsia="en-GB"/>
        </w:rPr>
        <w:t> </w:t>
      </w:r>
      <w:hyperlink r:id="rId24" w:tgtFrame="_blank" w:history="1">
        <w:r w:rsidRPr="00F32703">
          <w:rPr>
            <w:rStyle w:val="Hyperlink"/>
            <w:iCs/>
            <w:noProof/>
            <w:sz w:val="22"/>
            <w:szCs w:val="22"/>
            <w:lang w:eastAsia="en-GB"/>
          </w:rPr>
          <w:t>https://rm.coe.int/2025-annual-report/48802b1633</w:t>
        </w:r>
      </w:hyperlink>
      <w:r w:rsidRPr="00F32703">
        <w:rPr>
          <w:iCs/>
          <w:noProof/>
          <w:sz w:val="22"/>
          <w:szCs w:val="22"/>
          <w:lang w:eastAsia="en-GB"/>
        </w:rPr>
        <w:t>.  </w:t>
      </w:r>
    </w:p>
    <w:p w14:paraId="365836B5" w14:textId="77777777" w:rsidR="00183A89" w:rsidRDefault="004C5F4D" w:rsidP="00A24A13">
      <w:pPr>
        <w:spacing w:after="120"/>
        <w:rPr>
          <w:noProof/>
        </w:rPr>
      </w:pPr>
      <w:r>
        <w:rPr>
          <w:rFonts w:eastAsia="Calibri"/>
          <w:noProof/>
          <w:sz w:val="22"/>
          <w:szCs w:val="22"/>
          <w:lang w:val="en-IE" w:eastAsia="en-US"/>
        </w:rPr>
        <w:t xml:space="preserve">Council of Europe, </w:t>
      </w:r>
      <w:hyperlink r:id="rId25" w:anchor="{%22sort%22:[%22escpublicationdate%20descending%22],%22escdctype%22:[%22FOND%22,%22Conclusion%22,%22Ob%22]}" w:history="1">
        <w:r w:rsidRPr="00582DFE">
          <w:rPr>
            <w:rStyle w:val="Hyperlink"/>
            <w:rFonts w:eastAsia="Calibri"/>
            <w:i/>
            <w:iCs/>
            <w:noProof/>
            <w:sz w:val="22"/>
            <w:szCs w:val="22"/>
            <w:lang w:eastAsia="en-US"/>
          </w:rPr>
          <w:t>HUDOC-ESC</w:t>
        </w:r>
      </w:hyperlink>
    </w:p>
    <w:p w14:paraId="54BEE64B" w14:textId="15C671B9" w:rsidR="00254A06" w:rsidRPr="00B03E5C" w:rsidRDefault="0043453E" w:rsidP="00A24A13">
      <w:pPr>
        <w:spacing w:after="120"/>
        <w:rPr>
          <w:iCs/>
          <w:noProof/>
          <w:sz w:val="22"/>
          <w:szCs w:val="22"/>
          <w:lang w:val="en-IE" w:eastAsia="en-GB"/>
        </w:rPr>
      </w:pPr>
      <w:r>
        <w:rPr>
          <w:iCs/>
          <w:noProof/>
          <w:sz w:val="22"/>
          <w:szCs w:val="22"/>
          <w:lang w:val="en-IE" w:eastAsia="en-GB"/>
        </w:rPr>
        <w:t xml:space="preserve">Civicus, </w:t>
      </w:r>
      <w:r w:rsidR="008B6E72">
        <w:rPr>
          <w:iCs/>
          <w:noProof/>
          <w:sz w:val="22"/>
          <w:szCs w:val="22"/>
          <w:lang w:val="en-IE" w:eastAsia="en-GB"/>
        </w:rPr>
        <w:t xml:space="preserve">Monitor tracking civic space – Sweden, </w:t>
      </w:r>
      <w:hyperlink r:id="rId26" w:history="1">
        <w:r w:rsidR="00254A06" w:rsidRPr="004C19BA">
          <w:rPr>
            <w:rStyle w:val="Hyperlink"/>
            <w:iCs/>
            <w:noProof/>
            <w:sz w:val="22"/>
            <w:szCs w:val="22"/>
            <w:lang w:val="en-IE" w:eastAsia="en-GB"/>
          </w:rPr>
          <w:t>https://monitor.civicus.org/country/sweden/</w:t>
        </w:r>
      </w:hyperlink>
    </w:p>
    <w:p w14:paraId="0902CED0" w14:textId="70136FE8" w:rsidR="00234C5B" w:rsidRDefault="00234C5B" w:rsidP="00A24A13">
      <w:pPr>
        <w:spacing w:after="120"/>
        <w:rPr>
          <w:i/>
          <w:noProof/>
          <w:sz w:val="22"/>
          <w:szCs w:val="22"/>
          <w:lang w:val="en-IE" w:eastAsia="en-GB"/>
        </w:rPr>
      </w:pPr>
      <w:r w:rsidRPr="007C43F9">
        <w:rPr>
          <w:iCs/>
          <w:noProof/>
          <w:sz w:val="22"/>
          <w:szCs w:val="22"/>
          <w:lang w:val="en-IE" w:eastAsia="en-GB"/>
        </w:rPr>
        <w:t xml:space="preserve">European Commission (2025), 2025 Rule of Law Report, </w:t>
      </w:r>
      <w:r w:rsidRPr="007C43F9">
        <w:rPr>
          <w:i/>
          <w:noProof/>
          <w:sz w:val="22"/>
          <w:szCs w:val="22"/>
          <w:lang w:val="en-IE" w:eastAsia="en-GB"/>
        </w:rPr>
        <w:t xml:space="preserve">Country </w:t>
      </w:r>
      <w:r>
        <w:rPr>
          <w:i/>
          <w:noProof/>
          <w:sz w:val="22"/>
          <w:szCs w:val="22"/>
          <w:lang w:val="en-IE" w:eastAsia="en-GB"/>
        </w:rPr>
        <w:t>c</w:t>
      </w:r>
      <w:r w:rsidRPr="007C43F9">
        <w:rPr>
          <w:i/>
          <w:noProof/>
          <w:sz w:val="22"/>
          <w:szCs w:val="22"/>
          <w:lang w:val="en-IE" w:eastAsia="en-GB"/>
        </w:rPr>
        <w:t>hapter on the rule of law situation in Sweden.</w:t>
      </w:r>
    </w:p>
    <w:p w14:paraId="51D1E1C4" w14:textId="34B90EF1" w:rsidR="00234C5B" w:rsidRPr="00145474" w:rsidRDefault="00234C5B" w:rsidP="00234C5B">
      <w:pPr>
        <w:spacing w:after="120"/>
        <w:rPr>
          <w:i/>
          <w:noProof/>
          <w:sz w:val="22"/>
          <w:szCs w:val="22"/>
          <w:lang w:val="en-IE" w:eastAsia="en-GB"/>
        </w:rPr>
      </w:pPr>
      <w:r w:rsidRPr="00145474">
        <w:rPr>
          <w:iCs/>
          <w:noProof/>
          <w:sz w:val="22"/>
          <w:szCs w:val="22"/>
          <w:lang w:val="en-IE" w:eastAsia="en-GB"/>
        </w:rPr>
        <w:t xml:space="preserve">European Commission (2026), </w:t>
      </w:r>
      <w:r w:rsidRPr="00F32703">
        <w:rPr>
          <w:i/>
          <w:noProof/>
          <w:sz w:val="22"/>
          <w:szCs w:val="22"/>
          <w:lang w:val="en-IE" w:eastAsia="en-GB"/>
        </w:rPr>
        <w:t>EU Justice Scoreboard</w:t>
      </w:r>
      <w:r w:rsidRPr="00145474">
        <w:rPr>
          <w:i/>
          <w:noProof/>
          <w:sz w:val="22"/>
          <w:szCs w:val="22"/>
          <w:lang w:val="en-IE" w:eastAsia="en-GB"/>
        </w:rPr>
        <w:t>.</w:t>
      </w:r>
    </w:p>
    <w:p w14:paraId="2B366DC2" w14:textId="256F0AD5" w:rsidR="00234C5B" w:rsidRPr="00145474" w:rsidRDefault="00234C5B" w:rsidP="004A2072">
      <w:pPr>
        <w:spacing w:after="120"/>
        <w:rPr>
          <w:i/>
          <w:noProof/>
          <w:sz w:val="22"/>
          <w:szCs w:val="22"/>
          <w:lang w:val="en-IE" w:eastAsia="en-GB"/>
        </w:rPr>
      </w:pPr>
      <w:r w:rsidRPr="00145474">
        <w:rPr>
          <w:iCs/>
          <w:noProof/>
          <w:sz w:val="22"/>
          <w:szCs w:val="22"/>
          <w:lang w:val="en-IE" w:eastAsia="en-GB"/>
        </w:rPr>
        <w:t xml:space="preserve">European Commission (2025), </w:t>
      </w:r>
      <w:r w:rsidRPr="00F32703">
        <w:rPr>
          <w:i/>
          <w:noProof/>
          <w:sz w:val="22"/>
          <w:szCs w:val="22"/>
          <w:lang w:val="en-IE" w:eastAsia="en-GB"/>
        </w:rPr>
        <w:t>EU Justice Scoreboard</w:t>
      </w:r>
      <w:r w:rsidRPr="00145474">
        <w:rPr>
          <w:i/>
          <w:noProof/>
          <w:sz w:val="22"/>
          <w:szCs w:val="22"/>
          <w:lang w:val="en-IE" w:eastAsia="en-GB"/>
        </w:rPr>
        <w:t>.</w:t>
      </w:r>
    </w:p>
    <w:p w14:paraId="049C3417" w14:textId="57FE576E" w:rsidR="00234C5B" w:rsidRPr="005456F7" w:rsidRDefault="00234C5B" w:rsidP="00A24A13">
      <w:pPr>
        <w:spacing w:after="120"/>
        <w:rPr>
          <w:i/>
          <w:noProof/>
          <w:sz w:val="22"/>
          <w:szCs w:val="22"/>
          <w:lang w:val="en-IE" w:eastAsia="en-GB"/>
        </w:rPr>
      </w:pPr>
      <w:r>
        <w:rPr>
          <w:iCs/>
          <w:noProof/>
          <w:sz w:val="22"/>
          <w:szCs w:val="22"/>
          <w:lang w:val="en-IE" w:eastAsia="en-GB"/>
        </w:rPr>
        <w:t xml:space="preserve">European Implementation Network (2026), </w:t>
      </w:r>
      <w:r>
        <w:rPr>
          <w:i/>
          <w:noProof/>
          <w:sz w:val="22"/>
          <w:szCs w:val="22"/>
          <w:lang w:val="en-IE" w:eastAsia="en-GB"/>
        </w:rPr>
        <w:t xml:space="preserve">Written input from the European Implementation Network for the 2026 Rule of Law Report. </w:t>
      </w:r>
    </w:p>
    <w:p w14:paraId="0D3ACDF0" w14:textId="0A3FC67A" w:rsidR="00A922A7" w:rsidRPr="00F32703" w:rsidRDefault="00234C5B" w:rsidP="008C72D8">
      <w:pPr>
        <w:spacing w:after="120"/>
        <w:rPr>
          <w:noProof/>
        </w:rPr>
      </w:pPr>
      <w:r w:rsidRPr="007C43F9">
        <w:rPr>
          <w:noProof/>
          <w:sz w:val="22"/>
          <w:szCs w:val="22"/>
          <w:lang w:val="en-IE"/>
        </w:rPr>
        <w:t xml:space="preserve">European Public Prosecutor’s Office (2026) </w:t>
      </w:r>
      <w:r w:rsidRPr="007C43F9">
        <w:rPr>
          <w:i/>
          <w:noProof/>
          <w:sz w:val="22"/>
          <w:szCs w:val="22"/>
          <w:lang w:val="en-IE"/>
        </w:rPr>
        <w:t xml:space="preserve">Annual </w:t>
      </w:r>
      <w:r>
        <w:rPr>
          <w:i/>
          <w:noProof/>
          <w:sz w:val="22"/>
          <w:szCs w:val="22"/>
          <w:lang w:val="en-IE"/>
        </w:rPr>
        <w:t>r</w:t>
      </w:r>
      <w:r w:rsidRPr="007C43F9">
        <w:rPr>
          <w:i/>
          <w:noProof/>
          <w:sz w:val="22"/>
          <w:szCs w:val="22"/>
          <w:lang w:val="en-IE"/>
        </w:rPr>
        <w:t>eport 2025.</w:t>
      </w:r>
    </w:p>
    <w:p w14:paraId="17D89B9E" w14:textId="010FC713" w:rsidR="00234C5B" w:rsidRPr="007C43F9" w:rsidRDefault="00234C5B" w:rsidP="00A24A13">
      <w:pPr>
        <w:spacing w:after="120"/>
        <w:rPr>
          <w:i/>
          <w:noProof/>
          <w:sz w:val="22"/>
          <w:szCs w:val="22"/>
          <w:lang w:val="en-IE" w:eastAsia="en-GB"/>
        </w:rPr>
      </w:pPr>
      <w:r w:rsidRPr="007C43F9">
        <w:rPr>
          <w:iCs/>
          <w:noProof/>
          <w:sz w:val="22"/>
          <w:szCs w:val="22"/>
          <w:lang w:val="en-IE" w:eastAsia="en-GB"/>
        </w:rPr>
        <w:t>Institute Against Corruption (2025),</w:t>
      </w:r>
      <w:r w:rsidRPr="007C43F9">
        <w:rPr>
          <w:i/>
          <w:noProof/>
          <w:sz w:val="22"/>
          <w:szCs w:val="22"/>
          <w:lang w:val="en-IE" w:eastAsia="en-GB"/>
        </w:rPr>
        <w:t xml:space="preserve"> Corruption </w:t>
      </w:r>
      <w:r>
        <w:rPr>
          <w:i/>
          <w:noProof/>
          <w:sz w:val="22"/>
          <w:szCs w:val="22"/>
          <w:lang w:val="en-IE" w:eastAsia="en-GB"/>
        </w:rPr>
        <w:t>o</w:t>
      </w:r>
      <w:r w:rsidRPr="007C43F9">
        <w:rPr>
          <w:i/>
          <w:noProof/>
          <w:sz w:val="22"/>
          <w:szCs w:val="22"/>
          <w:lang w:val="en-IE" w:eastAsia="en-GB"/>
        </w:rPr>
        <w:t xml:space="preserve">ffence </w:t>
      </w:r>
      <w:r>
        <w:rPr>
          <w:i/>
          <w:noProof/>
          <w:sz w:val="22"/>
          <w:szCs w:val="22"/>
          <w:lang w:val="en-IE" w:eastAsia="en-GB"/>
        </w:rPr>
        <w:t>j</w:t>
      </w:r>
      <w:r w:rsidRPr="007C43F9">
        <w:rPr>
          <w:i/>
          <w:noProof/>
          <w:sz w:val="22"/>
          <w:szCs w:val="22"/>
          <w:lang w:val="en-IE" w:eastAsia="en-GB"/>
        </w:rPr>
        <w:t>udgments in Sweden 2025 (Mutbrottsdomar i Sverige 2025).</w:t>
      </w:r>
    </w:p>
    <w:p w14:paraId="6BD6B3B1" w14:textId="5554CED6" w:rsidR="00234C5B" w:rsidRPr="007C43F9" w:rsidRDefault="00234C5B" w:rsidP="00A24A13">
      <w:pPr>
        <w:spacing w:after="120"/>
        <w:rPr>
          <w:i/>
          <w:noProof/>
          <w:sz w:val="22"/>
          <w:szCs w:val="22"/>
          <w:lang w:val="en-IE" w:eastAsia="en-GB"/>
        </w:rPr>
      </w:pPr>
      <w:r w:rsidRPr="007C43F9">
        <w:rPr>
          <w:iCs/>
          <w:noProof/>
          <w:sz w:val="22"/>
          <w:szCs w:val="22"/>
          <w:lang w:val="en-IE" w:eastAsia="en-GB"/>
        </w:rPr>
        <w:t>Legal, Financial and Administrative Services Agency (2026),</w:t>
      </w:r>
      <w:r w:rsidRPr="007C43F9">
        <w:rPr>
          <w:i/>
          <w:noProof/>
          <w:sz w:val="22"/>
          <w:szCs w:val="22"/>
          <w:lang w:val="en-IE" w:eastAsia="en-GB"/>
        </w:rPr>
        <w:t xml:space="preserve"> Annual </w:t>
      </w:r>
      <w:r>
        <w:rPr>
          <w:i/>
          <w:noProof/>
          <w:sz w:val="22"/>
          <w:szCs w:val="22"/>
          <w:lang w:val="en-IE" w:eastAsia="en-GB"/>
        </w:rPr>
        <w:t>r</w:t>
      </w:r>
      <w:r w:rsidRPr="007C43F9">
        <w:rPr>
          <w:i/>
          <w:noProof/>
          <w:sz w:val="22"/>
          <w:szCs w:val="22"/>
          <w:lang w:val="en-IE" w:eastAsia="en-GB"/>
        </w:rPr>
        <w:t>eport 2025.</w:t>
      </w:r>
    </w:p>
    <w:p w14:paraId="26B88F74" w14:textId="2850DD9E" w:rsidR="00234C5B" w:rsidRPr="007C43F9" w:rsidRDefault="00234C5B" w:rsidP="00A24A13">
      <w:pPr>
        <w:spacing w:after="120"/>
        <w:rPr>
          <w:i/>
          <w:noProof/>
          <w:sz w:val="22"/>
          <w:szCs w:val="22"/>
          <w:lang w:eastAsia="en-GB"/>
        </w:rPr>
      </w:pPr>
      <w:r w:rsidRPr="007C43F9">
        <w:rPr>
          <w:noProof/>
          <w:sz w:val="22"/>
          <w:szCs w:val="22"/>
          <w:lang w:val="en-IE"/>
        </w:rPr>
        <w:t>Local Salary Agreement National Courts Administration – Saco-S (2026)</w:t>
      </w:r>
      <w:r>
        <w:rPr>
          <w:noProof/>
          <w:sz w:val="22"/>
          <w:szCs w:val="22"/>
          <w:lang w:val="en-IE"/>
        </w:rPr>
        <w:t>.</w:t>
      </w:r>
    </w:p>
    <w:p w14:paraId="489C8530" w14:textId="547D3734" w:rsidR="00234C5B" w:rsidRDefault="00234C5B" w:rsidP="00A24A13">
      <w:pPr>
        <w:spacing w:after="120"/>
        <w:rPr>
          <w:i/>
          <w:noProof/>
          <w:sz w:val="22"/>
          <w:szCs w:val="22"/>
          <w:lang w:val="en-IE"/>
        </w:rPr>
      </w:pPr>
      <w:r w:rsidRPr="007C43F9">
        <w:rPr>
          <w:noProof/>
          <w:sz w:val="22"/>
          <w:szCs w:val="22"/>
          <w:lang w:val="en-IE"/>
        </w:rPr>
        <w:t xml:space="preserve">National Council for Crime Prevention (2026), </w:t>
      </w:r>
      <w:r w:rsidRPr="007C43F9">
        <w:rPr>
          <w:i/>
          <w:noProof/>
          <w:sz w:val="22"/>
          <w:szCs w:val="22"/>
          <w:lang w:val="en-IE"/>
        </w:rPr>
        <w:t>Additional written input for the 2026 Rule of Law Report</w:t>
      </w:r>
      <w:r>
        <w:rPr>
          <w:i/>
          <w:noProof/>
          <w:sz w:val="22"/>
          <w:szCs w:val="22"/>
          <w:lang w:val="en-IE"/>
        </w:rPr>
        <w:t>.</w:t>
      </w:r>
    </w:p>
    <w:p w14:paraId="7A5CFD59" w14:textId="7497B97B" w:rsidR="00234C5B" w:rsidRPr="007C43F9" w:rsidRDefault="00234C5B" w:rsidP="00234C5B">
      <w:pPr>
        <w:spacing w:after="120"/>
        <w:rPr>
          <w:i/>
          <w:iCs/>
          <w:noProof/>
          <w:sz w:val="22"/>
          <w:szCs w:val="22"/>
        </w:rPr>
      </w:pPr>
      <w:r w:rsidRPr="007C43F9">
        <w:rPr>
          <w:noProof/>
          <w:sz w:val="22"/>
          <w:szCs w:val="22"/>
          <w:lang w:val="en-IE"/>
        </w:rPr>
        <w:t>OECD (2026),</w:t>
      </w:r>
      <w:r w:rsidRPr="007C43F9">
        <w:rPr>
          <w:i/>
          <w:iCs/>
          <w:noProof/>
          <w:sz w:val="22"/>
          <w:szCs w:val="22"/>
          <w:lang w:val="en-IE"/>
        </w:rPr>
        <w:t xml:space="preserve"> Indicators of Regulatory Policy and Governance (iREG).</w:t>
      </w:r>
    </w:p>
    <w:p w14:paraId="3630EBD0" w14:textId="52E9B23D" w:rsidR="00234C5B" w:rsidRDefault="00234C5B" w:rsidP="00A24A13">
      <w:pPr>
        <w:spacing w:after="120"/>
        <w:rPr>
          <w:i/>
          <w:iCs/>
          <w:noProof/>
          <w:sz w:val="22"/>
          <w:szCs w:val="22"/>
          <w:lang w:val="en-IE"/>
        </w:rPr>
      </w:pPr>
      <w:r w:rsidRPr="007C43F9">
        <w:rPr>
          <w:noProof/>
          <w:sz w:val="22"/>
          <w:szCs w:val="22"/>
          <w:lang w:val="en-IE"/>
        </w:rPr>
        <w:t>OECD (2025),</w:t>
      </w:r>
      <w:r w:rsidRPr="007C43F9">
        <w:rPr>
          <w:i/>
          <w:iCs/>
          <w:noProof/>
          <w:sz w:val="22"/>
          <w:szCs w:val="22"/>
          <w:lang w:val="en-IE"/>
        </w:rPr>
        <w:t xml:space="preserve"> Integrity Review of Sweden.</w:t>
      </w:r>
    </w:p>
    <w:p w14:paraId="6253C68D" w14:textId="0A689115" w:rsidR="00234C5B" w:rsidRPr="00D07E00" w:rsidRDefault="00234C5B" w:rsidP="00A24A13">
      <w:pPr>
        <w:spacing w:after="120"/>
        <w:rPr>
          <w:i/>
          <w:iCs/>
          <w:noProof/>
          <w:sz w:val="22"/>
          <w:szCs w:val="22"/>
          <w:lang w:val="en-IE"/>
        </w:rPr>
      </w:pPr>
      <w:r>
        <w:rPr>
          <w:noProof/>
          <w:sz w:val="22"/>
          <w:szCs w:val="22"/>
          <w:lang w:val="en-IE"/>
        </w:rPr>
        <w:t xml:space="preserve">Parliamentary Ombudsman (2025), </w:t>
      </w:r>
      <w:r>
        <w:rPr>
          <w:i/>
          <w:iCs/>
          <w:noProof/>
          <w:sz w:val="22"/>
          <w:szCs w:val="22"/>
          <w:lang w:val="en-IE"/>
        </w:rPr>
        <w:t xml:space="preserve">Report of the Parliamentary Ombudsman. </w:t>
      </w:r>
    </w:p>
    <w:p w14:paraId="0DD3545F" w14:textId="4DB36E9B" w:rsidR="00234C5B" w:rsidRPr="007C43F9" w:rsidRDefault="00C31D5C" w:rsidP="00A24A13">
      <w:pPr>
        <w:spacing w:after="120"/>
        <w:rPr>
          <w:i/>
          <w:iCs/>
          <w:noProof/>
          <w:sz w:val="22"/>
          <w:szCs w:val="22"/>
          <w:lang w:val="en-IE"/>
        </w:rPr>
      </w:pPr>
      <w:r>
        <w:rPr>
          <w:noProof/>
          <w:sz w:val="22"/>
          <w:szCs w:val="22"/>
          <w:lang w:val="en-IE"/>
        </w:rPr>
        <w:t xml:space="preserve">Swedish </w:t>
      </w:r>
      <w:r w:rsidR="00234C5B" w:rsidRPr="007C43F9">
        <w:rPr>
          <w:noProof/>
          <w:sz w:val="22"/>
          <w:szCs w:val="22"/>
          <w:lang w:val="en-IE"/>
        </w:rPr>
        <w:t xml:space="preserve">Police </w:t>
      </w:r>
      <w:r>
        <w:rPr>
          <w:noProof/>
          <w:sz w:val="22"/>
          <w:szCs w:val="22"/>
          <w:lang w:val="en-IE"/>
        </w:rPr>
        <w:t xml:space="preserve">Authority, </w:t>
      </w:r>
      <w:r w:rsidR="00234C5B" w:rsidRPr="007C43F9">
        <w:rPr>
          <w:noProof/>
          <w:sz w:val="22"/>
          <w:szCs w:val="22"/>
          <w:lang w:val="en-IE"/>
        </w:rPr>
        <w:t xml:space="preserve">National Anti-Corruption Unit (2025), </w:t>
      </w:r>
      <w:r w:rsidR="00234C5B" w:rsidRPr="007C43F9">
        <w:rPr>
          <w:i/>
          <w:noProof/>
          <w:sz w:val="22"/>
          <w:szCs w:val="22"/>
          <w:lang w:val="en-IE"/>
        </w:rPr>
        <w:t>Corruption in Sweden – a situational picture</w:t>
      </w:r>
      <w:r w:rsidR="00234C5B">
        <w:rPr>
          <w:i/>
          <w:noProof/>
          <w:sz w:val="22"/>
          <w:szCs w:val="22"/>
          <w:lang w:val="en-IE"/>
        </w:rPr>
        <w:t>.</w:t>
      </w:r>
    </w:p>
    <w:p w14:paraId="7F5870C3" w14:textId="6B4EB3DD" w:rsidR="00234C5B" w:rsidRPr="00F4219A" w:rsidRDefault="00234C5B" w:rsidP="00A24A13">
      <w:pPr>
        <w:spacing w:after="120"/>
        <w:rPr>
          <w:noProof/>
          <w:sz w:val="22"/>
          <w:szCs w:val="22"/>
          <w:lang w:val="sv-SE"/>
        </w:rPr>
      </w:pPr>
      <w:r w:rsidRPr="00F4219A">
        <w:rPr>
          <w:noProof/>
          <w:sz w:val="22"/>
          <w:szCs w:val="22"/>
          <w:lang w:val="sv-SE"/>
        </w:rPr>
        <w:t xml:space="preserve">Publikt (2026), </w:t>
      </w:r>
      <w:r w:rsidRPr="00F4219A">
        <w:rPr>
          <w:i/>
          <w:noProof/>
          <w:sz w:val="22"/>
          <w:szCs w:val="22"/>
          <w:lang w:val="sv-SE"/>
        </w:rPr>
        <w:t>Major differences in how whistleblowers are handled (Stora skillnader i hur visselblåsare hanteras)</w:t>
      </w:r>
      <w:r w:rsidRPr="00F4219A">
        <w:rPr>
          <w:noProof/>
          <w:sz w:val="22"/>
          <w:szCs w:val="22"/>
          <w:lang w:val="sv-SE"/>
        </w:rPr>
        <w:t xml:space="preserve">, </w:t>
      </w:r>
      <w:hyperlink r:id="rId27" w:history="1">
        <w:r w:rsidR="00B4312F" w:rsidRPr="000F6EC8">
          <w:rPr>
            <w:rStyle w:val="Hyperlink"/>
            <w:noProof/>
            <w:sz w:val="22"/>
            <w:szCs w:val="22"/>
            <w:lang w:val="sv-SE"/>
          </w:rPr>
          <w:t>https://www.publikt.se/nyhet/stora-skillnader-i-hur-visselblasare-hanteras-27626</w:t>
        </w:r>
      </w:hyperlink>
      <w:r w:rsidR="00B4312F">
        <w:rPr>
          <w:noProof/>
          <w:sz w:val="22"/>
          <w:szCs w:val="22"/>
          <w:lang w:val="sv-SE"/>
        </w:rPr>
        <w:t xml:space="preserve">. </w:t>
      </w:r>
    </w:p>
    <w:p w14:paraId="40C58699" w14:textId="461AB933" w:rsidR="00234C5B" w:rsidRPr="00640004" w:rsidRDefault="00234C5B" w:rsidP="00A24A13">
      <w:pPr>
        <w:spacing w:after="120"/>
        <w:rPr>
          <w:noProof/>
          <w:sz w:val="22"/>
          <w:szCs w:val="22"/>
          <w:lang w:val="sv-SE"/>
        </w:rPr>
      </w:pPr>
      <w:r w:rsidRPr="00640004">
        <w:rPr>
          <w:noProof/>
          <w:sz w:val="22"/>
          <w:szCs w:val="22"/>
          <w:lang w:val="sv-SE"/>
        </w:rPr>
        <w:t>Sveriges</w:t>
      </w:r>
      <w:r w:rsidR="008C72D8">
        <w:rPr>
          <w:noProof/>
          <w:sz w:val="22"/>
          <w:szCs w:val="22"/>
          <w:lang w:val="sv-SE"/>
        </w:rPr>
        <w:t xml:space="preserve"> </w:t>
      </w:r>
      <w:r w:rsidRPr="00640004">
        <w:rPr>
          <w:noProof/>
          <w:sz w:val="22"/>
          <w:szCs w:val="22"/>
          <w:lang w:val="sv-SE"/>
        </w:rPr>
        <w:t>Riksdag (2026)</w:t>
      </w:r>
      <w:r w:rsidRPr="00640004">
        <w:rPr>
          <w:i/>
          <w:iCs/>
          <w:noProof/>
          <w:sz w:val="22"/>
          <w:szCs w:val="22"/>
          <w:lang w:val="sv-SE"/>
        </w:rPr>
        <w:t xml:space="preserve"> The Riksdag votes no to referendum on constitutional matter, </w:t>
      </w:r>
      <w:hyperlink r:id="rId28" w:history="1">
        <w:r w:rsidRPr="00640004">
          <w:rPr>
            <w:rStyle w:val="Hyperlink"/>
            <w:noProof/>
            <w:sz w:val="22"/>
            <w:szCs w:val="22"/>
            <w:lang w:val="sv-SE"/>
          </w:rPr>
          <w:t>https://www.riksdagen.se/en/news/articles/2025/oct/21/the-riksdag-votes-no-to-referendum-on_cms9e9d74ca-264f-42e7-a05d-783c15f1258aen/</w:t>
        </w:r>
      </w:hyperlink>
      <w:r w:rsidRPr="00640004">
        <w:rPr>
          <w:noProof/>
          <w:sz w:val="22"/>
          <w:szCs w:val="22"/>
          <w:lang w:val="sv-SE"/>
        </w:rPr>
        <w:t xml:space="preserve">. </w:t>
      </w:r>
    </w:p>
    <w:p w14:paraId="36AB7190" w14:textId="4F7037E5" w:rsidR="00234C5B" w:rsidRPr="00F32703" w:rsidRDefault="00234C5B" w:rsidP="00A24A13">
      <w:pPr>
        <w:spacing w:after="120"/>
        <w:rPr>
          <w:i/>
          <w:iCs/>
          <w:noProof/>
          <w:sz w:val="22"/>
          <w:szCs w:val="22"/>
          <w:lang w:val="en-IE"/>
        </w:rPr>
      </w:pPr>
      <w:r w:rsidRPr="00F32703">
        <w:rPr>
          <w:noProof/>
          <w:sz w:val="22"/>
          <w:szCs w:val="22"/>
          <w:lang w:val="en-IE"/>
        </w:rPr>
        <w:t xml:space="preserve">Swedish Agency for the Media (2026), </w:t>
      </w:r>
      <w:r w:rsidRPr="00F32703">
        <w:rPr>
          <w:i/>
          <w:iCs/>
          <w:noProof/>
          <w:sz w:val="22"/>
          <w:szCs w:val="22"/>
          <w:lang w:val="en-IE"/>
        </w:rPr>
        <w:t xml:space="preserve">Written input from the Swedish Agency for the Media for the 2026 Rule of Law Report. </w:t>
      </w:r>
    </w:p>
    <w:p w14:paraId="7EEAE824" w14:textId="6AE09FA2" w:rsidR="00234C5B" w:rsidRPr="007C43F9" w:rsidRDefault="00234C5B" w:rsidP="00A24A13">
      <w:pPr>
        <w:spacing w:after="120"/>
        <w:rPr>
          <w:i/>
          <w:iCs/>
          <w:noProof/>
          <w:sz w:val="22"/>
          <w:szCs w:val="22"/>
          <w:lang w:val="en-IE"/>
        </w:rPr>
      </w:pPr>
      <w:r w:rsidRPr="007C43F9">
        <w:rPr>
          <w:noProof/>
          <w:sz w:val="22"/>
          <w:szCs w:val="22"/>
          <w:lang w:val="en-IE"/>
        </w:rPr>
        <w:t xml:space="preserve">Swedish Agency for Youth and Civil Society (2026), </w:t>
      </w:r>
      <w:r w:rsidRPr="00F32703">
        <w:rPr>
          <w:i/>
          <w:iCs/>
          <w:noProof/>
          <w:sz w:val="22"/>
          <w:szCs w:val="22"/>
          <w:lang w:val="en-IE"/>
        </w:rPr>
        <w:t>Dialogue on the implementation of democracy conditions</w:t>
      </w:r>
      <w:r>
        <w:rPr>
          <w:noProof/>
          <w:sz w:val="22"/>
          <w:szCs w:val="22"/>
          <w:lang w:val="en-IE"/>
        </w:rPr>
        <w:t xml:space="preserve"> (</w:t>
      </w:r>
      <w:r w:rsidRPr="007C43F9">
        <w:rPr>
          <w:i/>
          <w:iCs/>
          <w:noProof/>
          <w:sz w:val="22"/>
          <w:szCs w:val="22"/>
        </w:rPr>
        <w:t>Dialog om implementeringen av demokrativillkor</w:t>
      </w:r>
      <w:r>
        <w:rPr>
          <w:i/>
          <w:iCs/>
          <w:noProof/>
          <w:sz w:val="22"/>
          <w:szCs w:val="22"/>
        </w:rPr>
        <w:t>)</w:t>
      </w:r>
      <w:r w:rsidRPr="007C43F9">
        <w:rPr>
          <w:i/>
          <w:iCs/>
          <w:noProof/>
          <w:sz w:val="22"/>
          <w:szCs w:val="22"/>
          <w:lang w:val="en-IE"/>
        </w:rPr>
        <w:t>.</w:t>
      </w:r>
    </w:p>
    <w:p w14:paraId="14D89E4C" w14:textId="77777777" w:rsidR="00234C5B" w:rsidRDefault="00234C5B" w:rsidP="00A24A13">
      <w:pPr>
        <w:spacing w:after="120"/>
        <w:rPr>
          <w:noProof/>
          <w:sz w:val="22"/>
          <w:szCs w:val="22"/>
        </w:rPr>
      </w:pPr>
      <w:r w:rsidRPr="007C43F9">
        <w:rPr>
          <w:noProof/>
          <w:sz w:val="22"/>
          <w:szCs w:val="22"/>
          <w:lang w:val="en-IE"/>
        </w:rPr>
        <w:t xml:space="preserve">Swedish Competition Authority (2025), </w:t>
      </w:r>
      <w:r w:rsidRPr="007C43F9">
        <w:rPr>
          <w:i/>
          <w:noProof/>
          <w:sz w:val="22"/>
          <w:szCs w:val="22"/>
          <w:lang w:val="en-IE"/>
        </w:rPr>
        <w:t>press release (19 December 2025),</w:t>
      </w:r>
      <w:r w:rsidRPr="007C43F9">
        <w:rPr>
          <w:noProof/>
          <w:sz w:val="22"/>
          <w:szCs w:val="22"/>
          <w:lang w:val="en-IE"/>
        </w:rPr>
        <w:t xml:space="preserve">  </w:t>
      </w:r>
      <w:hyperlink r:id="rId29">
        <w:r w:rsidRPr="007C43F9">
          <w:rPr>
            <w:rStyle w:val="Hyperlink"/>
            <w:noProof/>
            <w:sz w:val="22"/>
            <w:szCs w:val="22"/>
            <w:lang w:val="en-IE"/>
          </w:rPr>
          <w:t>https://www.konkurrensverket.se/en/news/2025/sharper-tools-to-exclude-criminal-and-disreputable-suppliers-from-systems-of-choice</w:t>
        </w:r>
      </w:hyperlink>
      <w:r w:rsidRPr="007C43F9">
        <w:rPr>
          <w:noProof/>
          <w:sz w:val="22"/>
          <w:szCs w:val="22"/>
        </w:rPr>
        <w:t>.</w:t>
      </w:r>
    </w:p>
    <w:p w14:paraId="48873F0A" w14:textId="7E102D89" w:rsidR="00234C5B" w:rsidRPr="007C43F9" w:rsidRDefault="00234C5B" w:rsidP="00A24A13">
      <w:pPr>
        <w:spacing w:after="120"/>
        <w:rPr>
          <w:i/>
          <w:noProof/>
          <w:sz w:val="22"/>
          <w:szCs w:val="22"/>
          <w:lang w:val="en-IE"/>
        </w:rPr>
      </w:pPr>
      <w:r w:rsidRPr="0005442D">
        <w:rPr>
          <w:noProof/>
          <w:sz w:val="22"/>
          <w:szCs w:val="22"/>
        </w:rPr>
        <w:t>Swedish Educational Radio (UR) (2026),</w:t>
      </w:r>
      <w:r>
        <w:rPr>
          <w:noProof/>
          <w:sz w:val="22"/>
          <w:szCs w:val="22"/>
        </w:rPr>
        <w:t xml:space="preserve"> </w:t>
      </w:r>
      <w:r w:rsidR="00735FC8" w:rsidRPr="00F32703">
        <w:rPr>
          <w:i/>
          <w:iCs/>
          <w:noProof/>
          <w:sz w:val="22"/>
          <w:szCs w:val="22"/>
        </w:rPr>
        <w:t>C</w:t>
      </w:r>
      <w:r w:rsidR="00E82F5D" w:rsidRPr="00F32703">
        <w:rPr>
          <w:i/>
          <w:iCs/>
          <w:noProof/>
          <w:sz w:val="22"/>
          <w:szCs w:val="22"/>
        </w:rPr>
        <w:t>ontribution for the 2026 Rule of Law Report</w:t>
      </w:r>
      <w:r w:rsidR="00E82F5D">
        <w:rPr>
          <w:noProof/>
          <w:sz w:val="22"/>
          <w:szCs w:val="22"/>
        </w:rPr>
        <w:t>.</w:t>
      </w:r>
    </w:p>
    <w:p w14:paraId="553D8EC4" w14:textId="77777777" w:rsidR="00234C5B" w:rsidRPr="007C43F9" w:rsidRDefault="00234C5B" w:rsidP="00A24A13">
      <w:pPr>
        <w:spacing w:after="120"/>
        <w:rPr>
          <w:i/>
          <w:iCs/>
          <w:noProof/>
          <w:sz w:val="22"/>
          <w:szCs w:val="22"/>
        </w:rPr>
      </w:pPr>
      <w:r w:rsidRPr="007C43F9">
        <w:rPr>
          <w:noProof/>
          <w:sz w:val="22"/>
          <w:szCs w:val="22"/>
        </w:rPr>
        <w:t xml:space="preserve">Swedish Government (2026), </w:t>
      </w:r>
      <w:r w:rsidRPr="007C43F9">
        <w:rPr>
          <w:i/>
          <w:iCs/>
          <w:noProof/>
          <w:sz w:val="22"/>
          <w:szCs w:val="22"/>
        </w:rPr>
        <w:t>Contribution from the Swedish Government for the 2026 Rule of Law Report.</w:t>
      </w:r>
    </w:p>
    <w:p w14:paraId="359AE825" w14:textId="77777777" w:rsidR="00234C5B" w:rsidRDefault="00234C5B" w:rsidP="00A24A13">
      <w:pPr>
        <w:pStyle w:val="FootnoteText"/>
        <w:rPr>
          <w:i/>
          <w:iCs/>
          <w:noProof/>
          <w:sz w:val="22"/>
          <w:szCs w:val="22"/>
        </w:rPr>
      </w:pPr>
      <w:r w:rsidRPr="007C43F9">
        <w:rPr>
          <w:noProof/>
          <w:sz w:val="22"/>
          <w:szCs w:val="22"/>
        </w:rPr>
        <w:t xml:space="preserve">Swedish Government (2026a), </w:t>
      </w:r>
      <w:r w:rsidRPr="007C43F9">
        <w:rPr>
          <w:i/>
          <w:iCs/>
          <w:noProof/>
          <w:sz w:val="22"/>
          <w:szCs w:val="22"/>
        </w:rPr>
        <w:t xml:space="preserve">Additional written input from Sweden for the 2026 Rule of Law Report. </w:t>
      </w:r>
    </w:p>
    <w:p w14:paraId="756AD814" w14:textId="77777777" w:rsidR="00D34114" w:rsidRDefault="00D34114" w:rsidP="00A24A13">
      <w:pPr>
        <w:pStyle w:val="FootnoteText"/>
        <w:rPr>
          <w:i/>
          <w:iCs/>
          <w:noProof/>
          <w:sz w:val="22"/>
          <w:szCs w:val="22"/>
        </w:rPr>
      </w:pPr>
    </w:p>
    <w:p w14:paraId="12C89F59" w14:textId="77777777" w:rsidR="00234C5B" w:rsidRPr="007C43F9" w:rsidRDefault="00234C5B" w:rsidP="00A24A13">
      <w:pPr>
        <w:spacing w:after="120"/>
        <w:rPr>
          <w:i/>
          <w:iCs/>
          <w:noProof/>
          <w:sz w:val="22"/>
          <w:szCs w:val="22"/>
        </w:rPr>
      </w:pPr>
      <w:r w:rsidRPr="007C43F9">
        <w:rPr>
          <w:noProof/>
          <w:sz w:val="22"/>
          <w:szCs w:val="22"/>
        </w:rPr>
        <w:t>Swedish Government (2026b),</w:t>
      </w:r>
      <w:r w:rsidRPr="007C43F9">
        <w:rPr>
          <w:i/>
          <w:iCs/>
          <w:noProof/>
          <w:sz w:val="22"/>
          <w:szCs w:val="22"/>
        </w:rPr>
        <w:t xml:space="preserve"> Additional written input from Sweden on whistleblowing for the 2026 Rule of Law report.</w:t>
      </w:r>
    </w:p>
    <w:p w14:paraId="3595CCE2" w14:textId="3669D3CC" w:rsidR="00234C5B" w:rsidRDefault="00234C5B" w:rsidP="00A24A13">
      <w:pPr>
        <w:spacing w:after="120"/>
        <w:rPr>
          <w:i/>
          <w:iCs/>
          <w:noProof/>
          <w:sz w:val="22"/>
          <w:szCs w:val="22"/>
        </w:rPr>
      </w:pPr>
      <w:r w:rsidRPr="007C43F9">
        <w:rPr>
          <w:noProof/>
          <w:sz w:val="22"/>
          <w:szCs w:val="22"/>
        </w:rPr>
        <w:t>Swedish Government (2026c),</w:t>
      </w:r>
      <w:r w:rsidRPr="007C43F9">
        <w:rPr>
          <w:i/>
          <w:iCs/>
          <w:noProof/>
          <w:sz w:val="22"/>
          <w:szCs w:val="22"/>
        </w:rPr>
        <w:t xml:space="preserve"> Additional written input from Sweden for the 2026 Rule of Law report.</w:t>
      </w:r>
    </w:p>
    <w:p w14:paraId="4EE1D2BE" w14:textId="77777777" w:rsidR="00234C5B" w:rsidRDefault="00234C5B" w:rsidP="00234C5B">
      <w:pPr>
        <w:pStyle w:val="FootnoteText"/>
        <w:spacing w:after="120"/>
        <w:ind w:left="0" w:firstLine="0"/>
        <w:rPr>
          <w:i/>
          <w:iCs/>
          <w:noProof/>
          <w:sz w:val="22"/>
          <w:szCs w:val="22"/>
        </w:rPr>
      </w:pPr>
      <w:r w:rsidRPr="007C43F9">
        <w:rPr>
          <w:noProof/>
          <w:sz w:val="22"/>
          <w:szCs w:val="22"/>
        </w:rPr>
        <w:t xml:space="preserve">Swedish Government (2023), </w:t>
      </w:r>
      <w:r w:rsidRPr="007C43F9">
        <w:rPr>
          <w:i/>
          <w:iCs/>
          <w:noProof/>
          <w:sz w:val="22"/>
          <w:szCs w:val="22"/>
        </w:rPr>
        <w:t>Transitional restrictions – increasing trust in public services. Report on the Inquiry into Transitional restrictions in Public Activities.</w:t>
      </w:r>
    </w:p>
    <w:p w14:paraId="1CCBB82A" w14:textId="4E64ECFD" w:rsidR="00931E37" w:rsidRPr="007C43F9" w:rsidRDefault="00931E37" w:rsidP="00234C5B">
      <w:pPr>
        <w:pStyle w:val="FootnoteText"/>
        <w:spacing w:after="120"/>
        <w:ind w:left="0" w:firstLine="0"/>
        <w:rPr>
          <w:i/>
          <w:iCs/>
          <w:noProof/>
          <w:sz w:val="22"/>
          <w:szCs w:val="22"/>
        </w:rPr>
      </w:pPr>
      <w:r>
        <w:rPr>
          <w:iCs/>
          <w:noProof/>
          <w:sz w:val="22"/>
          <w:szCs w:val="22"/>
          <w:lang w:val="en-IE" w:eastAsia="en-GB"/>
        </w:rPr>
        <w:t xml:space="preserve">Swedish Government (2026) </w:t>
      </w:r>
      <w:r w:rsidRPr="00A67771">
        <w:rPr>
          <w:i/>
          <w:noProof/>
          <w:sz w:val="22"/>
          <w:szCs w:val="22"/>
          <w:lang w:val="en-IE" w:eastAsia="en-GB"/>
        </w:rPr>
        <w:t>Ethical Guidelines of the Government Offices of Sweden</w:t>
      </w:r>
    </w:p>
    <w:p w14:paraId="485E984B" w14:textId="77777777" w:rsidR="00234C5B" w:rsidRPr="007C43F9" w:rsidRDefault="00234C5B" w:rsidP="00A24A13">
      <w:pPr>
        <w:spacing w:after="120"/>
        <w:rPr>
          <w:i/>
          <w:iCs/>
          <w:noProof/>
          <w:sz w:val="22"/>
          <w:szCs w:val="22"/>
        </w:rPr>
      </w:pPr>
      <w:r w:rsidRPr="007C43F9">
        <w:rPr>
          <w:noProof/>
          <w:sz w:val="22"/>
          <w:szCs w:val="22"/>
        </w:rPr>
        <w:t>Swedish Institute for Human Rights as part of ENNHRI (2026),</w:t>
      </w:r>
      <w:r w:rsidRPr="007C43F9">
        <w:rPr>
          <w:i/>
          <w:iCs/>
          <w:noProof/>
          <w:sz w:val="22"/>
          <w:szCs w:val="22"/>
        </w:rPr>
        <w:t xml:space="preserve"> Contribution from the European Network of National Human Rights Institutions for the 2026 Rule of Law Report.</w:t>
      </w:r>
    </w:p>
    <w:p w14:paraId="700543D8" w14:textId="77777777" w:rsidR="00234C5B" w:rsidRPr="007C43F9" w:rsidRDefault="00234C5B" w:rsidP="00A24A13">
      <w:pPr>
        <w:spacing w:after="120"/>
        <w:rPr>
          <w:i/>
          <w:iCs/>
          <w:noProof/>
          <w:sz w:val="22"/>
          <w:szCs w:val="22"/>
        </w:rPr>
      </w:pPr>
      <w:r w:rsidRPr="007C43F9">
        <w:rPr>
          <w:noProof/>
          <w:sz w:val="22"/>
          <w:szCs w:val="22"/>
        </w:rPr>
        <w:t>Swedish National Courts Administration (2026),</w:t>
      </w:r>
      <w:r w:rsidRPr="007C43F9">
        <w:rPr>
          <w:i/>
          <w:iCs/>
          <w:noProof/>
          <w:sz w:val="22"/>
          <w:szCs w:val="22"/>
        </w:rPr>
        <w:t xml:space="preserve"> Annual Report 2025. </w:t>
      </w:r>
      <w:hyperlink r:id="rId30" w:history="1">
        <w:r w:rsidRPr="007C43F9">
          <w:rPr>
            <w:rStyle w:val="Hyperlink"/>
            <w:noProof/>
            <w:sz w:val="22"/>
            <w:szCs w:val="22"/>
          </w:rPr>
          <w:t>https://www.domstol.se/om-sveriges-domstolar/statistik-styrning-och-utveckling/arsredovisning/arsredovisning-2025/</w:t>
        </w:r>
      </w:hyperlink>
      <w:r w:rsidRPr="007C43F9">
        <w:rPr>
          <w:noProof/>
          <w:sz w:val="22"/>
          <w:szCs w:val="22"/>
        </w:rPr>
        <w:t>.</w:t>
      </w:r>
      <w:r w:rsidRPr="007C43F9">
        <w:rPr>
          <w:i/>
          <w:iCs/>
          <w:noProof/>
          <w:sz w:val="22"/>
          <w:szCs w:val="22"/>
        </w:rPr>
        <w:t xml:space="preserve"> </w:t>
      </w:r>
    </w:p>
    <w:p w14:paraId="1508A411" w14:textId="758937D1" w:rsidR="00234C5B" w:rsidRPr="007C43F9" w:rsidRDefault="00234C5B" w:rsidP="00A24A13">
      <w:pPr>
        <w:spacing w:after="120"/>
        <w:rPr>
          <w:i/>
          <w:iCs/>
          <w:noProof/>
          <w:sz w:val="22"/>
          <w:szCs w:val="22"/>
        </w:rPr>
      </w:pPr>
      <w:r w:rsidRPr="007C43F9">
        <w:rPr>
          <w:noProof/>
          <w:sz w:val="22"/>
          <w:szCs w:val="22"/>
        </w:rPr>
        <w:t>Swedish Police</w:t>
      </w:r>
      <w:r w:rsidR="00B7257D">
        <w:rPr>
          <w:noProof/>
          <w:sz w:val="22"/>
          <w:szCs w:val="22"/>
        </w:rPr>
        <w:t xml:space="preserve"> Authority</w:t>
      </w:r>
      <w:r w:rsidRPr="007C43F9">
        <w:rPr>
          <w:noProof/>
          <w:sz w:val="22"/>
          <w:szCs w:val="22"/>
        </w:rPr>
        <w:t xml:space="preserve"> (2026), </w:t>
      </w:r>
      <w:r w:rsidRPr="007C43F9">
        <w:rPr>
          <w:i/>
          <w:noProof/>
          <w:sz w:val="22"/>
          <w:szCs w:val="22"/>
        </w:rPr>
        <w:t>Written contribution to the 2026 Rule of Law Report.</w:t>
      </w:r>
    </w:p>
    <w:p w14:paraId="747BF89D" w14:textId="77777777" w:rsidR="00234C5B" w:rsidRPr="00F32703" w:rsidRDefault="00234C5B" w:rsidP="00A24A13">
      <w:pPr>
        <w:spacing w:after="120"/>
        <w:rPr>
          <w:noProof/>
          <w:sz w:val="22"/>
          <w:szCs w:val="22"/>
          <w:lang w:val="sv-SE"/>
        </w:rPr>
      </w:pPr>
      <w:r w:rsidRPr="007C43F9">
        <w:rPr>
          <w:noProof/>
          <w:sz w:val="22"/>
          <w:szCs w:val="22"/>
          <w:lang w:val="en-IE"/>
        </w:rPr>
        <w:t xml:space="preserve">Transparency International Sweden (2025), </w:t>
      </w:r>
      <w:r w:rsidRPr="007C43F9">
        <w:rPr>
          <w:i/>
          <w:iCs/>
          <w:noProof/>
          <w:sz w:val="22"/>
          <w:szCs w:val="22"/>
          <w:lang w:val="en-IE"/>
        </w:rPr>
        <w:t xml:space="preserve">Referral of the report “Greater Transparency in Political Processes” (SOU 2025:52) (Ref. No. </w:t>
      </w:r>
      <w:r w:rsidRPr="00F32703">
        <w:rPr>
          <w:i/>
          <w:iCs/>
          <w:noProof/>
          <w:sz w:val="22"/>
          <w:szCs w:val="22"/>
          <w:lang w:val="sv-SE"/>
        </w:rPr>
        <w:t>Ju2025/01117)</w:t>
      </w:r>
      <w:r w:rsidRPr="00F32703">
        <w:rPr>
          <w:noProof/>
          <w:sz w:val="22"/>
          <w:szCs w:val="22"/>
          <w:lang w:val="sv-SE"/>
        </w:rPr>
        <w:t xml:space="preserve">, </w:t>
      </w:r>
      <w:hyperlink r:id="rId31" w:history="1">
        <w:r w:rsidRPr="00F32703">
          <w:rPr>
            <w:rStyle w:val="Hyperlink"/>
            <w:noProof/>
            <w:sz w:val="22"/>
            <w:szCs w:val="22"/>
            <w:lang w:val="sv-SE"/>
          </w:rPr>
          <w:t>https://regeringen.se/contentassets/f6bc7d1544af4551b748f75c30cd19e0/transparency-international-sverige.pdf</w:t>
        </w:r>
      </w:hyperlink>
      <w:r w:rsidRPr="00F32703">
        <w:rPr>
          <w:noProof/>
          <w:sz w:val="22"/>
          <w:szCs w:val="22"/>
          <w:lang w:val="sv-SE"/>
        </w:rPr>
        <w:t xml:space="preserve">.  </w:t>
      </w:r>
    </w:p>
    <w:p w14:paraId="52FD884F" w14:textId="401AB812" w:rsidR="00234C5B" w:rsidRPr="007C43F9" w:rsidRDefault="00234C5B" w:rsidP="00A24A13">
      <w:pPr>
        <w:spacing w:after="120"/>
        <w:rPr>
          <w:i/>
          <w:noProof/>
          <w:sz w:val="22"/>
          <w:szCs w:val="22"/>
        </w:rPr>
      </w:pPr>
      <w:r w:rsidRPr="007C43F9">
        <w:rPr>
          <w:iCs/>
          <w:noProof/>
          <w:sz w:val="22"/>
          <w:szCs w:val="22"/>
        </w:rPr>
        <w:t>United Nations (2003),</w:t>
      </w:r>
      <w:r w:rsidRPr="007C43F9">
        <w:rPr>
          <w:i/>
          <w:noProof/>
          <w:sz w:val="22"/>
          <w:szCs w:val="22"/>
        </w:rPr>
        <w:t xml:space="preserve"> United Nations Convention against </w:t>
      </w:r>
      <w:r>
        <w:rPr>
          <w:i/>
          <w:noProof/>
          <w:sz w:val="22"/>
          <w:szCs w:val="22"/>
        </w:rPr>
        <w:t>c</w:t>
      </w:r>
      <w:r w:rsidRPr="007C43F9">
        <w:rPr>
          <w:i/>
          <w:noProof/>
          <w:sz w:val="22"/>
          <w:szCs w:val="22"/>
        </w:rPr>
        <w:t>orruption.</w:t>
      </w:r>
    </w:p>
    <w:p w14:paraId="6363207B" w14:textId="77777777" w:rsidR="00234C5B" w:rsidRPr="007C43F9" w:rsidRDefault="00234C5B" w:rsidP="00A24A13">
      <w:pPr>
        <w:spacing w:after="120"/>
        <w:rPr>
          <w:i/>
          <w:noProof/>
          <w:sz w:val="22"/>
          <w:szCs w:val="22"/>
        </w:rPr>
      </w:pPr>
      <w:r w:rsidRPr="007C43F9">
        <w:rPr>
          <w:iCs/>
          <w:noProof/>
          <w:sz w:val="22"/>
          <w:szCs w:val="22"/>
        </w:rPr>
        <w:t>Work Environment Agency (2025),</w:t>
      </w:r>
      <w:r w:rsidRPr="007C43F9">
        <w:rPr>
          <w:i/>
          <w:noProof/>
          <w:sz w:val="22"/>
          <w:szCs w:val="22"/>
        </w:rPr>
        <w:t xml:space="preserve"> Whistleblowing inspection (Inspektion av visselblåsning) </w:t>
      </w:r>
      <w:hyperlink r:id="rId32" w:history="1">
        <w:r w:rsidRPr="007C43F9">
          <w:rPr>
            <w:rStyle w:val="Hyperlink"/>
            <w:i/>
            <w:noProof/>
            <w:sz w:val="22"/>
            <w:szCs w:val="22"/>
          </w:rPr>
          <w:t>https://www.av.se/arbetsmiljoarbete-och-inspektioner/inspektioner-utredningar-och-kontroller/inspektion/aktuella-inspektioner/inspektion-av-visselblasning/</w:t>
        </w:r>
      </w:hyperlink>
      <w:r w:rsidRPr="007C43F9">
        <w:rPr>
          <w:i/>
          <w:noProof/>
          <w:sz w:val="22"/>
          <w:szCs w:val="22"/>
        </w:rPr>
        <w:t xml:space="preserve"> .</w:t>
      </w:r>
    </w:p>
    <w:p w14:paraId="31DE8BA3" w14:textId="27796D6A" w:rsidR="00A24A13" w:rsidRPr="007C43F9" w:rsidRDefault="00A24A13" w:rsidP="00A24A13">
      <w:pPr>
        <w:spacing w:after="120"/>
        <w:rPr>
          <w:noProof/>
          <w:sz w:val="22"/>
          <w:szCs w:val="22"/>
          <w:lang w:val="en-IE" w:eastAsia="en-GB"/>
        </w:rPr>
      </w:pPr>
    </w:p>
    <w:p w14:paraId="419FBBDD" w14:textId="77777777" w:rsidR="00A24A13" w:rsidRPr="007C43F9" w:rsidRDefault="00A24A13" w:rsidP="00A24A13">
      <w:pPr>
        <w:spacing w:after="120"/>
        <w:rPr>
          <w:noProof/>
          <w:sz w:val="22"/>
          <w:szCs w:val="22"/>
          <w:lang w:val="en-IE" w:eastAsia="en-GB"/>
        </w:rPr>
      </w:pPr>
    </w:p>
    <w:p w14:paraId="27F6EA59" w14:textId="77777777" w:rsidR="00A24A13" w:rsidRPr="00705B8F" w:rsidRDefault="00A24A13" w:rsidP="00A24A13">
      <w:pPr>
        <w:pageBreakBefore/>
        <w:spacing w:after="120"/>
        <w:rPr>
          <w:b/>
          <w:noProof/>
          <w:sz w:val="22"/>
          <w:szCs w:val="18"/>
          <w:lang w:val="en-IE" w:eastAsia="en-GB"/>
        </w:rPr>
      </w:pPr>
      <w:r w:rsidRPr="00705B8F">
        <w:rPr>
          <w:b/>
          <w:noProof/>
          <w:sz w:val="22"/>
          <w:szCs w:val="18"/>
          <w:lang w:val="en-IE" w:eastAsia="en-GB"/>
        </w:rPr>
        <w:t>Annex II: Country visit to Sweden</w:t>
      </w:r>
    </w:p>
    <w:p w14:paraId="468922BC" w14:textId="77777777" w:rsidR="00A24A13" w:rsidRPr="00F32703" w:rsidRDefault="00A24A13" w:rsidP="00A24A13">
      <w:pPr>
        <w:spacing w:after="120"/>
        <w:rPr>
          <w:noProof/>
          <w:color w:val="000000" w:themeColor="text1"/>
          <w:szCs w:val="24"/>
          <w:shd w:val="clear" w:color="auto" w:fill="FFFFFF"/>
          <w:lang w:val="en-IE" w:eastAsia="en-GB"/>
        </w:rPr>
      </w:pPr>
      <w:r w:rsidRPr="00F32703">
        <w:rPr>
          <w:noProof/>
          <w:szCs w:val="24"/>
          <w:lang w:val="en-IE" w:eastAsia="en-GB"/>
        </w:rPr>
        <w:t xml:space="preserve">The Commission services held physical and virtual </w:t>
      </w:r>
      <w:r w:rsidRPr="00F32703">
        <w:rPr>
          <w:noProof/>
          <w:color w:val="000000" w:themeColor="text1"/>
          <w:szCs w:val="24"/>
          <w:lang w:val="en-IE" w:eastAsia="en-GB"/>
        </w:rPr>
        <w:t>meetings in March 2026 with:</w:t>
      </w:r>
    </w:p>
    <w:p w14:paraId="16066E4D"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Agency for Public Management</w:t>
      </w:r>
    </w:p>
    <w:p w14:paraId="0FC237F3"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Civil Rights Defenders</w:t>
      </w:r>
    </w:p>
    <w:p w14:paraId="74D2EF92" w14:textId="63E87F00" w:rsidR="008C5A91" w:rsidRPr="00F32703" w:rsidRDefault="004137B0"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Confederation of Swedish Industries</w:t>
      </w:r>
    </w:p>
    <w:p w14:paraId="28E90CB1"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Economic Crime Authority</w:t>
      </w:r>
    </w:p>
    <w:p w14:paraId="6F8F98EE" w14:textId="6AA6335B" w:rsidR="00BD4AAF" w:rsidRPr="00F32703" w:rsidRDefault="005F3706"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International Commission of Jurists (ICJ)</w:t>
      </w:r>
    </w:p>
    <w:p w14:paraId="6ED5E102"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Media Ombudsman</w:t>
      </w:r>
    </w:p>
    <w:p w14:paraId="1E260EBA"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Ministry of Culture</w:t>
      </w:r>
    </w:p>
    <w:p w14:paraId="350FB8EF"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Ministry of Finance</w:t>
      </w:r>
    </w:p>
    <w:p w14:paraId="3736679D"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Ministry of Justice</w:t>
      </w:r>
    </w:p>
    <w:p w14:paraId="77C57887" w14:textId="49FB195D" w:rsidR="00132333" w:rsidRPr="00F32703" w:rsidRDefault="0013233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National Audit Office</w:t>
      </w:r>
    </w:p>
    <w:p w14:paraId="3D31D41E"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National Council for Crime Prevention</w:t>
      </w:r>
    </w:p>
    <w:p w14:paraId="3BA353D2"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 xml:space="preserve">National Courts Administration </w:t>
      </w:r>
    </w:p>
    <w:p w14:paraId="03D37FBA" w14:textId="16C2FEBF"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Office of the Parliamentary Ombudsm</w:t>
      </w:r>
      <w:r w:rsidR="00754551" w:rsidRPr="00F32703">
        <w:rPr>
          <w:noProof/>
          <w:szCs w:val="24"/>
          <w:bdr w:val="none" w:sz="0" w:space="0" w:color="auto" w:frame="1"/>
          <w:lang w:val="en-IE"/>
        </w:rPr>
        <w:t>a</w:t>
      </w:r>
      <w:r w:rsidRPr="00F32703">
        <w:rPr>
          <w:noProof/>
          <w:szCs w:val="24"/>
          <w:bdr w:val="none" w:sz="0" w:space="0" w:color="auto" w:frame="1"/>
          <w:lang w:val="en-IE"/>
        </w:rPr>
        <w:t>n</w:t>
      </w:r>
    </w:p>
    <w:p w14:paraId="63D7AD47"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Office of the Prime Minister</w:t>
      </w:r>
    </w:p>
    <w:p w14:paraId="69A0821C"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Secretariat of the Constitution Committee</w:t>
      </w:r>
    </w:p>
    <w:p w14:paraId="4DAC5452"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Supreme Administrative Court</w:t>
      </w:r>
    </w:p>
    <w:p w14:paraId="672BBA0F"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Supreme Court</w:t>
      </w:r>
    </w:p>
    <w:p w14:paraId="138DBD59"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 xml:space="preserve">Swedish Agency for the Media </w:t>
      </w:r>
    </w:p>
    <w:p w14:paraId="3FA5C863"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 xml:space="preserve">Swedish Bar Association </w:t>
      </w:r>
    </w:p>
    <w:p w14:paraId="56055BA0"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Confederation of Industries</w:t>
      </w:r>
    </w:p>
    <w:p w14:paraId="2698E4EA"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Educational Radio (UR)</w:t>
      </w:r>
    </w:p>
    <w:p w14:paraId="446FFE21" w14:textId="34854954" w:rsidR="003D425F" w:rsidRPr="00F32703" w:rsidRDefault="003D425F"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Government</w:t>
      </w:r>
    </w:p>
    <w:p w14:paraId="5292AC0A"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Institute for Human Rights</w:t>
      </w:r>
    </w:p>
    <w:p w14:paraId="7C043E40" w14:textId="1F2F6A38" w:rsidR="000C21B5" w:rsidRPr="00F32703" w:rsidRDefault="000C21B5"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Judges Association</w:t>
      </w:r>
    </w:p>
    <w:p w14:paraId="5FDEDCF7"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 xml:space="preserve">Swedish Lay Judges Association </w:t>
      </w:r>
    </w:p>
    <w:p w14:paraId="219DC804" w14:textId="3C15D6ED" w:rsidR="00F1157D" w:rsidRPr="00F32703" w:rsidRDefault="00F1157D"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National Human Rights Institution</w:t>
      </w:r>
    </w:p>
    <w:p w14:paraId="5EF8AF69" w14:textId="77777777" w:rsidR="000B7BF7" w:rsidRPr="00F32703" w:rsidRDefault="000B7BF7" w:rsidP="000B7BF7">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 xml:space="preserve">Swedish Police Authority, including Special Investigation Department </w:t>
      </w:r>
    </w:p>
    <w:p w14:paraId="5B18E54A" w14:textId="4DDA7BFA" w:rsidR="000B7BF7" w:rsidRPr="008C72D8" w:rsidRDefault="000B7BF7" w:rsidP="00F3270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Prosecution Authority</w:t>
      </w:r>
    </w:p>
    <w:p w14:paraId="03CFC7B3"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Publishers’ Association</w:t>
      </w:r>
    </w:p>
    <w:p w14:paraId="552CDAF1"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Section of the International Commission of Jurists</w:t>
      </w:r>
    </w:p>
    <w:p w14:paraId="1081CF79" w14:textId="5FC3AC8C" w:rsidR="00353046" w:rsidRPr="00F32703" w:rsidRDefault="00353046"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Supreme Audit Institution</w:t>
      </w:r>
    </w:p>
    <w:p w14:paraId="34D8433E"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Television (SVT)</w:t>
      </w:r>
    </w:p>
    <w:p w14:paraId="67986661"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Section of the International Commission of Jurists</w:t>
      </w:r>
    </w:p>
    <w:p w14:paraId="5C9C94AB" w14:textId="77777777"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Swedish Union of Journalists</w:t>
      </w:r>
    </w:p>
    <w:p w14:paraId="7E004081" w14:textId="0735A2DE" w:rsidR="00A24A13" w:rsidRPr="00F32703" w:rsidRDefault="00A24A13" w:rsidP="00A24A13">
      <w:pPr>
        <w:numPr>
          <w:ilvl w:val="0"/>
          <w:numId w:val="21"/>
        </w:numPr>
        <w:spacing w:after="0"/>
        <w:ind w:left="714" w:hanging="357"/>
        <w:contextualSpacing/>
        <w:rPr>
          <w:noProof/>
          <w:szCs w:val="24"/>
          <w:bdr w:val="none" w:sz="0" w:space="0" w:color="auto" w:frame="1"/>
          <w:lang w:val="en-IE"/>
        </w:rPr>
      </w:pPr>
      <w:r w:rsidRPr="00F32703">
        <w:rPr>
          <w:noProof/>
          <w:szCs w:val="24"/>
          <w:bdr w:val="none" w:sz="0" w:space="0" w:color="auto" w:frame="1"/>
          <w:lang w:val="en-IE"/>
        </w:rPr>
        <w:t>Transparency International</w:t>
      </w:r>
      <w:r w:rsidR="00277EA1" w:rsidRPr="00F32703">
        <w:rPr>
          <w:noProof/>
          <w:szCs w:val="24"/>
          <w:bdr w:val="none" w:sz="0" w:space="0" w:color="auto" w:frame="1"/>
          <w:lang w:val="en-IE"/>
        </w:rPr>
        <w:t xml:space="preserve"> Sweden</w:t>
      </w:r>
    </w:p>
    <w:p w14:paraId="6AB793A4" w14:textId="77777777" w:rsidR="00A24A13" w:rsidRPr="00F32703" w:rsidRDefault="00A24A13" w:rsidP="00A24A13">
      <w:pPr>
        <w:spacing w:after="0"/>
        <w:ind w:left="714"/>
        <w:contextualSpacing/>
        <w:rPr>
          <w:noProof/>
          <w:szCs w:val="24"/>
          <w:bdr w:val="none" w:sz="0" w:space="0" w:color="auto" w:frame="1"/>
          <w:lang w:val="en-IE"/>
        </w:rPr>
      </w:pPr>
    </w:p>
    <w:p w14:paraId="1FA7E14F" w14:textId="77777777" w:rsidR="00A24A13" w:rsidRPr="00F32703" w:rsidRDefault="00A24A13" w:rsidP="00A24A13">
      <w:pPr>
        <w:spacing w:after="120"/>
        <w:rPr>
          <w:noProof/>
          <w:szCs w:val="24"/>
          <w:lang w:val="en-IE" w:eastAsia="en-GB"/>
        </w:rPr>
      </w:pPr>
      <w:r w:rsidRPr="00F32703">
        <w:rPr>
          <w:noProof/>
          <w:szCs w:val="24"/>
          <w:lang w:val="en-IE" w:eastAsia="en-GB"/>
        </w:rPr>
        <w:t xml:space="preserve">* The Commission also met the following organisations in a number of horizontal meetings: </w:t>
      </w:r>
    </w:p>
    <w:p w14:paraId="067B484D"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Civil Liberties Union for Europe</w:t>
      </w:r>
    </w:p>
    <w:p w14:paraId="42917914"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Civil Society Europe</w:t>
      </w:r>
    </w:p>
    <w:p w14:paraId="61DEDC90"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End FGM EU</w:t>
      </w:r>
    </w:p>
    <w:p w14:paraId="3DC07A85"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European Civic Forum</w:t>
      </w:r>
    </w:p>
    <w:p w14:paraId="1C2923F9"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European Partnership for Democracy</w:t>
      </w:r>
    </w:p>
    <w:p w14:paraId="7155D142"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Human Rights Watch</w:t>
      </w:r>
    </w:p>
    <w:p w14:paraId="0449CDF6"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ILGA-Europe</w:t>
      </w:r>
    </w:p>
    <w:p w14:paraId="1E6F08F2"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International Federation for Human Rights</w:t>
      </w:r>
    </w:p>
    <w:p w14:paraId="24B6F6B2"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Philea - Philanthropy Europe Association</w:t>
      </w:r>
    </w:p>
    <w:p w14:paraId="1A22C8C8" w14:textId="77777777" w:rsidR="00A24A13" w:rsidRPr="00F32703" w:rsidRDefault="00A24A13" w:rsidP="00A24A13">
      <w:pPr>
        <w:numPr>
          <w:ilvl w:val="0"/>
          <w:numId w:val="22"/>
        </w:numPr>
        <w:spacing w:after="0"/>
        <w:rPr>
          <w:noProof/>
          <w:szCs w:val="24"/>
          <w:lang w:val="en-IE" w:eastAsia="en-GB"/>
        </w:rPr>
      </w:pPr>
      <w:r w:rsidRPr="00F32703">
        <w:rPr>
          <w:noProof/>
          <w:szCs w:val="24"/>
          <w:lang w:val="en-IE" w:eastAsia="en-GB"/>
        </w:rPr>
        <w:t>Transparency International EU</w:t>
      </w:r>
    </w:p>
    <w:p w14:paraId="437D6A63" w14:textId="77777777" w:rsidR="00A24A13" w:rsidRPr="00705B8F" w:rsidRDefault="00A24A13" w:rsidP="00A24A13">
      <w:pPr>
        <w:tabs>
          <w:tab w:val="left" w:pos="7870"/>
        </w:tabs>
        <w:rPr>
          <w:noProof/>
          <w:sz w:val="22"/>
          <w:szCs w:val="18"/>
          <w:lang w:val="en-IE"/>
        </w:rPr>
      </w:pPr>
      <w:r w:rsidRPr="00705B8F">
        <w:rPr>
          <w:noProof/>
          <w:sz w:val="22"/>
          <w:szCs w:val="18"/>
          <w:lang w:val="en-IE"/>
        </w:rPr>
        <w:tab/>
      </w:r>
    </w:p>
    <w:p w14:paraId="7C71BB12" w14:textId="77777777" w:rsidR="00CD604B" w:rsidRPr="00705B8F" w:rsidRDefault="00CD604B" w:rsidP="00B51782">
      <w:pPr>
        <w:rPr>
          <w:noProof/>
          <w:sz w:val="22"/>
          <w:szCs w:val="18"/>
        </w:rPr>
      </w:pPr>
    </w:p>
    <w:sectPr w:rsidR="00CD604B" w:rsidRPr="00705B8F" w:rsidSect="00A24A13">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989AB" w14:textId="77777777" w:rsidR="004835F3" w:rsidRDefault="004835F3">
      <w:pPr>
        <w:spacing w:after="0"/>
      </w:pPr>
      <w:r>
        <w:separator/>
      </w:r>
    </w:p>
  </w:endnote>
  <w:endnote w:type="continuationSeparator" w:id="0">
    <w:p w14:paraId="48335625" w14:textId="77777777" w:rsidR="004835F3" w:rsidRDefault="004835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2B8A" w14:textId="02A01AF4" w:rsidR="00CB2F52" w:rsidRPr="00CB2F52" w:rsidRDefault="00CB2F52" w:rsidP="00CB2F52">
    <w:pPr>
      <w:pStyle w:val="FooterCoverPage"/>
      <w:rPr>
        <w:rFonts w:ascii="Arial" w:hAnsi="Arial" w:cs="Arial"/>
        <w:b/>
        <w:sz w:val="48"/>
      </w:rPr>
    </w:pPr>
    <w:r w:rsidRPr="00CB2F52">
      <w:rPr>
        <w:rFonts w:ascii="Arial" w:hAnsi="Arial" w:cs="Arial"/>
        <w:b/>
        <w:sz w:val="48"/>
      </w:rPr>
      <w:t>EN</w:t>
    </w:r>
    <w:r w:rsidRPr="00CB2F52">
      <w:rPr>
        <w:rFonts w:ascii="Arial" w:hAnsi="Arial" w:cs="Arial"/>
        <w:b/>
        <w:sz w:val="48"/>
      </w:rPr>
      <w:tab/>
    </w:r>
    <w:r w:rsidRPr="00CB2F52">
      <w:rPr>
        <w:rFonts w:ascii="Arial" w:hAnsi="Arial" w:cs="Arial"/>
        <w:b/>
        <w:sz w:val="48"/>
      </w:rPr>
      <w:tab/>
    </w:r>
    <w:r w:rsidRPr="00CB2F52">
      <w:tab/>
    </w:r>
    <w:r w:rsidRPr="00CB2F5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03C9" w14:textId="21A0C6D9" w:rsidR="00CB2F52" w:rsidRPr="00CB2F52" w:rsidRDefault="00CB2F52" w:rsidP="00CB2F52">
    <w:pPr>
      <w:pStyle w:val="FooterCoverPage"/>
      <w:rPr>
        <w:rFonts w:ascii="Arial" w:hAnsi="Arial" w:cs="Arial"/>
        <w:b/>
        <w:sz w:val="48"/>
      </w:rPr>
    </w:pPr>
    <w:r w:rsidRPr="00CB2F52">
      <w:rPr>
        <w:rFonts w:ascii="Arial" w:hAnsi="Arial" w:cs="Arial"/>
        <w:b/>
        <w:sz w:val="48"/>
      </w:rPr>
      <w:t>EN</w:t>
    </w:r>
    <w:r w:rsidRPr="00CB2F52">
      <w:rPr>
        <w:rFonts w:ascii="Arial" w:hAnsi="Arial" w:cs="Arial"/>
        <w:b/>
        <w:sz w:val="48"/>
      </w:rPr>
      <w:tab/>
    </w:r>
    <w:r w:rsidRPr="00CB2F52">
      <w:rPr>
        <w:rFonts w:ascii="Arial" w:hAnsi="Arial" w:cs="Arial"/>
        <w:b/>
        <w:sz w:val="48"/>
      </w:rPr>
      <w:tab/>
    </w:r>
    <w:r w:rsidRPr="00CB2F52">
      <w:tab/>
    </w:r>
    <w:r w:rsidRPr="00CB2F5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2BBF" w14:textId="77777777" w:rsidR="00CB2F52" w:rsidRPr="00CB2F52" w:rsidRDefault="00CB2F52" w:rsidP="00CB2F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330AF" w14:textId="77777777" w:rsidR="00A24A13" w:rsidRDefault="00A24A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2DCEA139" w14:textId="60C48A85" w:rsidR="00A24A13" w:rsidRPr="00A24A13" w:rsidRDefault="00A24A13">
        <w:pPr>
          <w:pStyle w:val="Footer"/>
          <w:jc w:val="center"/>
          <w:rPr>
            <w:sz w:val="24"/>
            <w:szCs w:val="24"/>
          </w:rPr>
        </w:pPr>
        <w:r w:rsidRPr="00A24A13">
          <w:rPr>
            <w:sz w:val="24"/>
            <w:szCs w:val="24"/>
          </w:rPr>
          <w:fldChar w:fldCharType="begin"/>
        </w:r>
        <w:r w:rsidRPr="00A24A13">
          <w:rPr>
            <w:sz w:val="24"/>
            <w:szCs w:val="24"/>
          </w:rPr>
          <w:instrText xml:space="preserve"> PAGE   \* MERGEFORMAT </w:instrText>
        </w:r>
        <w:r w:rsidRPr="00A24A13">
          <w:rPr>
            <w:sz w:val="24"/>
            <w:szCs w:val="24"/>
          </w:rPr>
          <w:fldChar w:fldCharType="separate"/>
        </w:r>
        <w:r w:rsidR="00CB2F52">
          <w:rPr>
            <w:noProof/>
            <w:sz w:val="24"/>
            <w:szCs w:val="24"/>
          </w:rPr>
          <w:t>1</w:t>
        </w:r>
        <w:r w:rsidRPr="00A24A13">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0B86FE63" w14:textId="77777777" w:rsidR="00A24A13" w:rsidRDefault="00A24A13">
        <w:pPr>
          <w:pStyle w:val="Footer"/>
          <w:jc w:val="center"/>
        </w:pPr>
      </w:p>
      <w:p w14:paraId="54D9CFE4" w14:textId="77777777" w:rsidR="00A24A13" w:rsidRDefault="00A24A13">
        <w:pPr>
          <w:pStyle w:val="Footer"/>
          <w:jc w:val="center"/>
        </w:pPr>
      </w:p>
      <w:p w14:paraId="430932F2" w14:textId="77777777" w:rsidR="00A24A13" w:rsidRDefault="00A24A13">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52F454F1" w14:textId="77777777" w:rsidR="00A24A13" w:rsidRDefault="00A24A13"/>
  <w:p w14:paraId="026B7207" w14:textId="77777777" w:rsidR="00A24A13" w:rsidRDefault="00A24A1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93E3F" w14:textId="77777777" w:rsidR="004835F3" w:rsidRDefault="004835F3">
      <w:pPr>
        <w:spacing w:after="0"/>
      </w:pPr>
      <w:r>
        <w:separator/>
      </w:r>
    </w:p>
  </w:footnote>
  <w:footnote w:type="continuationSeparator" w:id="0">
    <w:p w14:paraId="19BDD04E" w14:textId="77777777" w:rsidR="004835F3" w:rsidRDefault="004835F3">
      <w:pPr>
        <w:spacing w:after="0"/>
      </w:pPr>
      <w:r>
        <w:continuationSeparator/>
      </w:r>
    </w:p>
  </w:footnote>
  <w:footnote w:id="1">
    <w:p w14:paraId="3D67279D" w14:textId="4E43C81B" w:rsidR="00A24A13" w:rsidRPr="00B75EC4" w:rsidRDefault="00A24A13" w:rsidP="00A24A13">
      <w:pPr>
        <w:pStyle w:val="FootnoteText"/>
        <w:rPr>
          <w:lang w:val="en-IE"/>
        </w:rPr>
      </w:pPr>
      <w:r w:rsidRPr="00CC69E1">
        <w:rPr>
          <w:rStyle w:val="FootnoteReference"/>
          <w:lang w:val="en-IE"/>
        </w:rPr>
        <w:footnoteRef/>
      </w:r>
      <w:bookmarkStart w:id="2" w:name="_Hlk226462436"/>
      <w:r w:rsidRPr="00CC69E1">
        <w:rPr>
          <w:rStyle w:val="FootnoteReference"/>
          <w:lang w:val="en-IE"/>
        </w:rPr>
        <w:tab/>
      </w:r>
      <w:bookmarkEnd w:id="2"/>
      <w:r w:rsidRPr="00B75EC4">
        <w:rPr>
          <w:lang w:val="en-IE"/>
        </w:rPr>
        <w:t xml:space="preserve">An overview of the institutional framework for all four pillars can be found </w:t>
      </w:r>
      <w:hyperlink r:id="rId1" w:history="1">
        <w:r w:rsidR="00351AB9" w:rsidRPr="00351AB9">
          <w:rPr>
            <w:rStyle w:val="Hyperlink"/>
            <w:lang w:val="en-US"/>
          </w:rPr>
          <w:t>here</w:t>
        </w:r>
      </w:hyperlink>
      <w:r w:rsidR="00351AB9" w:rsidRPr="00351AB9">
        <w:rPr>
          <w:lang w:val="en-US"/>
        </w:rPr>
        <w:t>. </w:t>
      </w:r>
    </w:p>
  </w:footnote>
  <w:footnote w:id="2">
    <w:p w14:paraId="39678F19" w14:textId="77777777" w:rsidR="00A24A13" w:rsidRPr="00B75EC4" w:rsidRDefault="00A24A13" w:rsidP="00A24A13">
      <w:pPr>
        <w:pStyle w:val="FootnoteText"/>
      </w:pPr>
      <w:r w:rsidRPr="00B75EC4">
        <w:rPr>
          <w:rStyle w:val="FootnoteReference"/>
        </w:rPr>
        <w:footnoteRef/>
      </w:r>
      <w:r w:rsidRPr="00B75EC4">
        <w:t xml:space="preserve"> </w:t>
      </w:r>
      <w:r w:rsidRPr="00B75EC4">
        <w:tab/>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54E97C7C" w14:textId="19608017" w:rsidR="00A24A13" w:rsidRPr="00B75EC4" w:rsidRDefault="00A24A13" w:rsidP="00A24A13">
      <w:pPr>
        <w:pStyle w:val="FootnoteText"/>
      </w:pPr>
      <w:r w:rsidRPr="00B75EC4">
        <w:rPr>
          <w:rStyle w:val="FootnoteReference"/>
        </w:rPr>
        <w:footnoteRef/>
      </w:r>
      <w:r w:rsidRPr="00B75EC4">
        <w:t xml:space="preserve"> </w:t>
      </w:r>
      <w:r w:rsidRPr="00B75EC4">
        <w:tab/>
      </w:r>
      <w:r w:rsidRPr="00B75EC4">
        <w:rPr>
          <w:lang w:val="en-IE"/>
        </w:rPr>
        <w:t>2025</w:t>
      </w:r>
      <w:r w:rsidR="00711D28" w:rsidRPr="00B75EC4">
        <w:rPr>
          <w:lang w:val="en-IE"/>
        </w:rPr>
        <w:t xml:space="preserve"> </w:t>
      </w:r>
      <w:r w:rsidRPr="00B75EC4">
        <w:rPr>
          <w:lang w:val="en-IE"/>
        </w:rPr>
        <w:t>Rule of Law Report, Sweden, pp. 3-4.</w:t>
      </w:r>
    </w:p>
  </w:footnote>
  <w:footnote w:id="4">
    <w:p w14:paraId="1C59890D"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Sveriges Riksdag (2026) ‘</w:t>
      </w:r>
      <w:r w:rsidRPr="00B75EC4">
        <w:rPr>
          <w:i/>
          <w:iCs/>
          <w:lang w:val="en-IE"/>
        </w:rPr>
        <w:t>The Riksdag votes no to referendum on constitutional matter</w:t>
      </w:r>
      <w:r w:rsidRPr="00B75EC4">
        <w:rPr>
          <w:lang w:val="en-IE"/>
        </w:rPr>
        <w:t>’.</w:t>
      </w:r>
    </w:p>
  </w:footnote>
  <w:footnote w:id="5">
    <w:p w14:paraId="31EB6FB2"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The 2025 Rule of Law Report recommended to Sweden to “Ensure that the nomination system of lay judges safeguards their independence, taking into account European standards on judicial independence.”</w:t>
      </w:r>
      <w:r w:rsidRPr="00B75EC4" w:rsidDel="00222987">
        <w:rPr>
          <w:lang w:val="en-IE"/>
        </w:rPr>
        <w:t xml:space="preserve"> </w:t>
      </w:r>
      <w:r w:rsidRPr="00B75EC4">
        <w:rPr>
          <w:lang w:val="en-IE"/>
        </w:rPr>
        <w:t>No progress was previously assessed on this recommendation in 2025.</w:t>
      </w:r>
    </w:p>
  </w:footnote>
  <w:footnote w:id="6">
    <w:p w14:paraId="3028CD71" w14:textId="261EADDA"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2025 Rule of Law Report, Sweden, pp. 4-5.</w:t>
      </w:r>
    </w:p>
  </w:footnote>
  <w:footnote w:id="7">
    <w:p w14:paraId="285E305C" w14:textId="02004038"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Country visit Sweden, I</w:t>
      </w:r>
      <w:r w:rsidR="00EA1593" w:rsidRPr="00F32703">
        <w:rPr>
          <w:lang w:val="en-IE"/>
        </w:rPr>
        <w:t xml:space="preserve">nternational </w:t>
      </w:r>
      <w:r w:rsidRPr="00B75EC4">
        <w:rPr>
          <w:lang w:val="en-IE"/>
        </w:rPr>
        <w:t>C</w:t>
      </w:r>
      <w:r w:rsidR="00EA1593" w:rsidRPr="00F32703">
        <w:rPr>
          <w:lang w:val="en-IE"/>
        </w:rPr>
        <w:t xml:space="preserve">ommission of </w:t>
      </w:r>
      <w:r w:rsidRPr="00B75EC4">
        <w:rPr>
          <w:lang w:val="en-IE"/>
        </w:rPr>
        <w:t>J</w:t>
      </w:r>
      <w:r w:rsidR="00EA1593" w:rsidRPr="00F32703">
        <w:rPr>
          <w:lang w:val="en-IE"/>
        </w:rPr>
        <w:t>urists</w:t>
      </w:r>
      <w:r w:rsidR="005F3706" w:rsidRPr="00F32703">
        <w:rPr>
          <w:lang w:val="en-IE"/>
        </w:rPr>
        <w:t xml:space="preserve"> (ICJ)</w:t>
      </w:r>
      <w:r w:rsidR="00BD4AAF" w:rsidRPr="00F32703">
        <w:rPr>
          <w:lang w:val="en-IE"/>
        </w:rPr>
        <w:t>,</w:t>
      </w:r>
      <w:r w:rsidRPr="00B75EC4">
        <w:rPr>
          <w:lang w:val="en-IE"/>
        </w:rPr>
        <w:t xml:space="preserve"> Civil Rights Defenders, Swedish Judges Association, Swedish National Human Rights Institution.</w:t>
      </w:r>
    </w:p>
  </w:footnote>
  <w:footnote w:id="8">
    <w:p w14:paraId="4071F7C3" w14:textId="4612A7F7"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This training programme, provided for by the National Court Administration, would be divided into several modules instead of the current single-module format. This updated training material is intended to be in place when the next lay judge elections take place in 2027. It should be noted that each court is independent</w:t>
      </w:r>
      <w:r w:rsidRPr="007D6CB9">
        <w:rPr>
          <w:lang w:val="en-IE"/>
        </w:rPr>
        <w:t xml:space="preserve"> </w:t>
      </w:r>
      <w:r w:rsidRPr="00B75EC4">
        <w:rPr>
          <w:lang w:val="en-IE"/>
        </w:rPr>
        <w:t>and decides for itself how to use the material provided by the Administration, as well as how much time to allocate to training.</w:t>
      </w:r>
    </w:p>
  </w:footnote>
  <w:footnote w:id="9">
    <w:p w14:paraId="77A5612E" w14:textId="2D48AE73" w:rsidR="00DF3C0E" w:rsidRPr="00DF3C0E" w:rsidRDefault="00DF3C0E">
      <w:pPr>
        <w:pStyle w:val="FootnoteText"/>
        <w:rPr>
          <w:lang w:val="en-IE"/>
        </w:rPr>
      </w:pPr>
      <w:r>
        <w:rPr>
          <w:rStyle w:val="FootnoteReference"/>
        </w:rPr>
        <w:footnoteRef/>
      </w:r>
      <w:r>
        <w:tab/>
        <w:t>T</w:t>
      </w:r>
      <w:r w:rsidRPr="00DF3C0E">
        <w:t>he Lay Judges Association launched a reflection process on recruitment to strengthen the selection process of lay judges. This may include the development of standardised guidance materials for recruiting new lay judges, such as sample interview questions and a more comprehensive description of the role and responsibilities of lay judges.</w:t>
      </w:r>
    </w:p>
  </w:footnote>
  <w:footnote w:id="10">
    <w:p w14:paraId="3EA9559B" w14:textId="77777777"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Country visit Sweden, Lay Judges Association.</w:t>
      </w:r>
    </w:p>
  </w:footnote>
  <w:footnote w:id="11">
    <w:p w14:paraId="0145F9A6" w14:textId="4C06C908"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The review examines whether lay judges are sufficiently representative of the broader population, receive adequate training, and whether their role is effectively managed by the courts. Country visit Sweden, Swedish Supreme Audit Institution.</w:t>
      </w:r>
    </w:p>
  </w:footnote>
  <w:footnote w:id="12">
    <w:p w14:paraId="7486FCB7" w14:textId="4810FED7" w:rsidR="00A24A13" w:rsidRPr="00B75EC4" w:rsidRDefault="00A24A13" w:rsidP="00A24A13">
      <w:pPr>
        <w:pStyle w:val="FootnoteText"/>
        <w:rPr>
          <w:lang w:val="en-IE"/>
        </w:rPr>
      </w:pPr>
      <w:r w:rsidRPr="00B75EC4">
        <w:rPr>
          <w:rStyle w:val="FootnoteReference"/>
        </w:rPr>
        <w:footnoteRef/>
      </w:r>
      <w:r w:rsidRPr="00B75EC4">
        <w:t xml:space="preserve"> </w:t>
      </w:r>
      <w:r w:rsidR="000F0957" w:rsidRPr="00B75EC4">
        <w:t xml:space="preserve">  </w:t>
      </w:r>
      <w:r w:rsidR="000F0957" w:rsidRPr="00B75EC4">
        <w:tab/>
      </w:r>
      <w:r w:rsidRPr="00B75EC4">
        <w:t>Over the three-year period, the</w:t>
      </w:r>
      <w:r w:rsidRPr="00B75EC4">
        <w:rPr>
          <w:lang w:val="en-IE"/>
        </w:rPr>
        <w:t xml:space="preserve"> total additional financial resources amount to EUR 2,443,674,696 EUR (SEK </w:t>
      </w:r>
      <w:r w:rsidRPr="00B75EC4">
        <w:t>26,276,072,000).</w:t>
      </w:r>
    </w:p>
  </w:footnote>
  <w:footnote w:id="13">
    <w:p w14:paraId="7999E726" w14:textId="4C6F2146"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2025</w:t>
      </w:r>
      <w:r w:rsidR="000F0957" w:rsidRPr="00B75EC4">
        <w:rPr>
          <w:lang w:val="en-IE"/>
        </w:rPr>
        <w:t xml:space="preserve"> </w:t>
      </w:r>
      <w:r w:rsidRPr="00B75EC4">
        <w:rPr>
          <w:lang w:val="en-IE"/>
        </w:rPr>
        <w:t>Rule of Law Report, Sweden, p. 5.</w:t>
      </w:r>
    </w:p>
  </w:footnote>
  <w:footnote w:id="14">
    <w:p w14:paraId="20458D20" w14:textId="77777777"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Country visit Sweden, National Courts Administration.</w:t>
      </w:r>
    </w:p>
  </w:footnote>
  <w:footnote w:id="15">
    <w:p w14:paraId="2743C2E4" w14:textId="3A6C9C6B" w:rsidR="00A24A13" w:rsidRPr="00B75EC4" w:rsidRDefault="00A24A13" w:rsidP="00A24A13">
      <w:pPr>
        <w:pStyle w:val="FootnoteText"/>
        <w:rPr>
          <w:lang w:val="en-IE"/>
        </w:rPr>
      </w:pPr>
      <w:r w:rsidRPr="00B75EC4">
        <w:rPr>
          <w:rStyle w:val="FootnoteReference"/>
        </w:rPr>
        <w:footnoteRef/>
      </w:r>
      <w:r w:rsidRPr="00B75EC4">
        <w:t xml:space="preserve">  </w:t>
      </w:r>
      <w:r w:rsidR="00B22566" w:rsidRPr="00B75EC4">
        <w:tab/>
      </w:r>
      <w:r w:rsidRPr="00B75EC4">
        <w:t>This includes measures focused on enhancing both physical security of courts, operational resilience as well as cybersecurity of courts, Swedish National Courts Administration (2026), Annual Report 2025.</w:t>
      </w:r>
    </w:p>
  </w:footnote>
  <w:footnote w:id="16">
    <w:p w14:paraId="0DECDB8C" w14:textId="5E5C667A"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00C020B9">
        <w:rPr>
          <w:lang w:val="en-IE"/>
        </w:rPr>
        <w:t>Ibid.</w:t>
      </w:r>
    </w:p>
  </w:footnote>
  <w:footnote w:id="17">
    <w:p w14:paraId="52AF4161" w14:textId="19D42D51" w:rsidR="00A24A13" w:rsidRPr="00D731E3"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 xml:space="preserve">The </w:t>
      </w:r>
      <w:r w:rsidR="00E91008" w:rsidRPr="00B75EC4">
        <w:rPr>
          <w:lang w:val="en-IE"/>
        </w:rPr>
        <w:t>existing</w:t>
      </w:r>
      <w:r w:rsidRPr="00B75EC4">
        <w:rPr>
          <w:lang w:val="en-IE"/>
        </w:rPr>
        <w:t xml:space="preserve"> salary system – based on a collective agreement combined with individual salary setting for each judge – remains in place.</w:t>
      </w:r>
    </w:p>
  </w:footnote>
  <w:footnote w:id="18">
    <w:p w14:paraId="286C16EF" w14:textId="7BDB2B7A"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 Sweden, National Courts Administration</w:t>
      </w:r>
      <w:r w:rsidR="00735EB7">
        <w:rPr>
          <w:lang w:val="en-IE"/>
        </w:rPr>
        <w:t>,</w:t>
      </w:r>
      <w:r>
        <w:rPr>
          <w:lang w:val="en-IE"/>
        </w:rPr>
        <w:t xml:space="preserve"> National. Local Salary Agreement</w:t>
      </w:r>
      <w:r w:rsidR="00735EB7">
        <w:rPr>
          <w:lang w:val="en-IE"/>
        </w:rPr>
        <w:t>,</w:t>
      </w:r>
      <w:r>
        <w:rPr>
          <w:lang w:val="en-IE"/>
        </w:rPr>
        <w:t xml:space="preserve"> National Courts Administration – Saco-S (2026).</w:t>
      </w:r>
    </w:p>
  </w:footnote>
  <w:footnote w:id="19">
    <w:p w14:paraId="55B8897E" w14:textId="77777777" w:rsidR="00A24A13" w:rsidRPr="00B75EC4" w:rsidRDefault="00A24A13" w:rsidP="00A24A13">
      <w:pPr>
        <w:pStyle w:val="FootnoteText"/>
        <w:rPr>
          <w:lang w:val="en-IE"/>
        </w:rPr>
      </w:pPr>
      <w:r w:rsidRPr="00B75EC4">
        <w:rPr>
          <w:rStyle w:val="FootnoteReference"/>
        </w:rPr>
        <w:footnoteRef/>
      </w:r>
      <w:r w:rsidRPr="00B75EC4">
        <w:t xml:space="preserve"> </w:t>
      </w:r>
      <w:r w:rsidRPr="00B75EC4">
        <w:tab/>
      </w:r>
      <w:r w:rsidRPr="00B75EC4">
        <w:rPr>
          <w:lang w:val="en-IE"/>
        </w:rPr>
        <w:t>Local Salary Agreement National Courts Administration – Saco-S (2026), section 6.3.2.</w:t>
      </w:r>
    </w:p>
  </w:footnote>
  <w:footnote w:id="20">
    <w:p w14:paraId="237F893B" w14:textId="71CA4CEE"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Country visit Sweden, Swedish Bar Association.</w:t>
      </w:r>
    </w:p>
  </w:footnote>
  <w:footnote w:id="21">
    <w:p w14:paraId="6EC069D5" w14:textId="2D2AF0D4"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They consider that this remuneration system is not transparent and is vulnerable to interference through the remuneration of (individual) judges</w:t>
      </w:r>
      <w:r w:rsidR="00774F0D" w:rsidRPr="00B75EC4">
        <w:rPr>
          <w:lang w:val="en-IE"/>
        </w:rPr>
        <w:t xml:space="preserve">, </w:t>
      </w:r>
      <w:r w:rsidRPr="00B75EC4">
        <w:rPr>
          <w:lang w:val="en-IE"/>
        </w:rPr>
        <w:t>2025 Rule of Law Report, Sweden, pp. 5-6. Instead, they argue for a more transparent, seniority-based system with predetermined progression steps. Country visit Sweden, Swedish Judges Association.</w:t>
      </w:r>
    </w:p>
  </w:footnote>
  <w:footnote w:id="22">
    <w:p w14:paraId="66A90291" w14:textId="6365B96C" w:rsidR="00A24A13" w:rsidRPr="00B75EC4" w:rsidRDefault="00A24A13" w:rsidP="00A24A13">
      <w:pPr>
        <w:pStyle w:val="FootnoteText"/>
      </w:pPr>
      <w:r w:rsidRPr="00B75EC4">
        <w:rPr>
          <w:rStyle w:val="FootnoteReference"/>
        </w:rPr>
        <w:footnoteRef/>
      </w:r>
      <w:r w:rsidRPr="00B75EC4">
        <w:t xml:space="preserve"> </w:t>
      </w:r>
      <w:r w:rsidRPr="00B75EC4">
        <w:tab/>
        <w:t xml:space="preserve">2025 Rule of Law Report, Sweden, pp. 6-7. </w:t>
      </w:r>
    </w:p>
  </w:footnote>
  <w:footnote w:id="23">
    <w:p w14:paraId="7CD46DFB" w14:textId="50875E38"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000F22FB" w:rsidRPr="00B75EC4">
        <w:rPr>
          <w:lang w:val="en-IE"/>
        </w:rPr>
        <w:tab/>
      </w:r>
      <w:r w:rsidRPr="00B75EC4">
        <w:rPr>
          <w:lang w:val="en-IE"/>
        </w:rPr>
        <w:t>In January 2025, the committee delivered its report. It noted that Swedish law does not provide for a generally applicable constitutional right to judicial review, in contrast to the provisions contained in the European Convention on Human Rights and the EU Charter of Fundamental Rights, 2025 Rule of Law Report, Sweden, pp. 6-7.</w:t>
      </w:r>
    </w:p>
  </w:footnote>
  <w:footnote w:id="24">
    <w:p w14:paraId="7C8C394E" w14:textId="5F7820CA"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Swedish Government (2026), written input, p.5.</w:t>
      </w:r>
    </w:p>
  </w:footnote>
  <w:footnote w:id="25">
    <w:p w14:paraId="2A7F60BF" w14:textId="77777777" w:rsidR="00A24A13" w:rsidRPr="00B75EC4" w:rsidRDefault="00A24A13" w:rsidP="00A24A13">
      <w:pPr>
        <w:pStyle w:val="FootnoteText"/>
        <w:rPr>
          <w:lang w:val="en-IE"/>
        </w:rPr>
      </w:pPr>
      <w:r w:rsidRPr="00B75EC4">
        <w:rPr>
          <w:rStyle w:val="FootnoteReference"/>
        </w:rPr>
        <w:footnoteRef/>
      </w:r>
      <w:r w:rsidRPr="00B75EC4">
        <w:t xml:space="preserve"> </w:t>
      </w:r>
      <w:r w:rsidRPr="00B75EC4">
        <w:tab/>
      </w:r>
      <w:r w:rsidRPr="00B75EC4">
        <w:rPr>
          <w:lang w:val="en-IE"/>
        </w:rPr>
        <w:t xml:space="preserve">Country visit Sweden, Swedish Government. </w:t>
      </w:r>
    </w:p>
  </w:footnote>
  <w:footnote w:id="26">
    <w:p w14:paraId="73AF3927" w14:textId="77777777"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Country visit Sweden, ICJ and Civil Rights Defenders.</w:t>
      </w:r>
    </w:p>
  </w:footnote>
  <w:footnote w:id="27">
    <w:p w14:paraId="3F93430B" w14:textId="69A84886" w:rsidR="006F6B88" w:rsidRPr="00F32703" w:rsidRDefault="006F6B88">
      <w:pPr>
        <w:pStyle w:val="FootnoteText"/>
        <w:rPr>
          <w:lang w:val="en-IE"/>
        </w:rPr>
      </w:pPr>
      <w:r>
        <w:rPr>
          <w:rStyle w:val="FootnoteReference"/>
        </w:rPr>
        <w:footnoteRef/>
      </w:r>
      <w:r w:rsidRPr="00F32703">
        <w:rPr>
          <w:lang w:val="en-IE"/>
        </w:rPr>
        <w:tab/>
      </w:r>
      <w:r w:rsidRPr="00F32703">
        <w:t>See for example</w:t>
      </w:r>
      <w:r w:rsidR="00677AF7" w:rsidRPr="00F32703">
        <w:t xml:space="preserve"> Group Proceedings Act (2002:599).</w:t>
      </w:r>
    </w:p>
  </w:footnote>
  <w:footnote w:id="28">
    <w:p w14:paraId="3F7808B9" w14:textId="24290787" w:rsidR="00F32703" w:rsidRPr="00F32703" w:rsidRDefault="00F32703" w:rsidP="00F32703">
      <w:pPr>
        <w:pStyle w:val="FootnoteText"/>
      </w:pPr>
      <w:r w:rsidRPr="00F32703">
        <w:rPr>
          <w:rStyle w:val="FootnoteReference"/>
        </w:rPr>
        <w:footnoteRef/>
      </w:r>
      <w:r w:rsidRPr="00F32703">
        <w:tab/>
      </w:r>
      <w:r w:rsidRPr="00F32703">
        <w:rPr>
          <w:lang w:val="en-IE"/>
        </w:rPr>
        <w:t>Figures</w:t>
      </w:r>
      <w:r>
        <w:rPr>
          <w:lang w:val="en-IE"/>
        </w:rPr>
        <w:t xml:space="preserve"> 2-3, 2026 EU Justice Scoreboard</w:t>
      </w:r>
      <w:r w:rsidR="00DF3C0E">
        <w:rPr>
          <w:lang w:val="en-IE"/>
        </w:rPr>
        <w:t>.</w:t>
      </w:r>
    </w:p>
  </w:footnote>
  <w:footnote w:id="29">
    <w:p w14:paraId="75EE645B" w14:textId="190D0F37" w:rsidR="00A24A13" w:rsidRPr="00B75EC4" w:rsidRDefault="00A24A13" w:rsidP="00A24A13">
      <w:pPr>
        <w:pStyle w:val="FootnoteText"/>
        <w:rPr>
          <w:lang w:val="en-IE"/>
        </w:rPr>
      </w:pPr>
      <w:r w:rsidRPr="00B75EC4">
        <w:rPr>
          <w:rStyle w:val="FootnoteReference"/>
        </w:rPr>
        <w:footnoteRef/>
      </w:r>
      <w:r w:rsidRPr="00B75EC4">
        <w:t xml:space="preserve"> </w:t>
      </w:r>
      <w:r w:rsidRPr="00B75EC4">
        <w:tab/>
      </w:r>
      <w:r w:rsidRPr="00B75EC4">
        <w:rPr>
          <w:szCs w:val="24"/>
          <w:lang w:val="en-IE"/>
        </w:rPr>
        <w:t xml:space="preserve">In 2024, 150 days at first instance, 85 days at second instance and 209 days at third instance. </w:t>
      </w:r>
      <w:r w:rsidR="008F3069" w:rsidRPr="00B75EC4">
        <w:rPr>
          <w:szCs w:val="24"/>
          <w:lang w:val="en-IE"/>
        </w:rPr>
        <w:t xml:space="preserve">Figure </w:t>
      </w:r>
      <w:r w:rsidR="00C50532">
        <w:rPr>
          <w:szCs w:val="24"/>
          <w:lang w:val="en-IE"/>
        </w:rPr>
        <w:t>6</w:t>
      </w:r>
      <w:r w:rsidR="008F3069" w:rsidRPr="00B75EC4">
        <w:rPr>
          <w:szCs w:val="24"/>
          <w:lang w:val="en-IE"/>
        </w:rPr>
        <w:t xml:space="preserve">, </w:t>
      </w:r>
      <w:r w:rsidRPr="00B75EC4">
        <w:rPr>
          <w:szCs w:val="24"/>
          <w:lang w:val="en-IE"/>
        </w:rPr>
        <w:t>2026 EU Justice Scoreboard.</w:t>
      </w:r>
    </w:p>
  </w:footnote>
  <w:footnote w:id="30">
    <w:p w14:paraId="243C788A" w14:textId="72A22349" w:rsidR="0067275F" w:rsidRPr="0067275F" w:rsidRDefault="0067275F">
      <w:pPr>
        <w:pStyle w:val="FootnoteText"/>
        <w:rPr>
          <w:lang w:val="en-IE"/>
        </w:rPr>
      </w:pPr>
      <w:r>
        <w:rPr>
          <w:rStyle w:val="FootnoteReference"/>
        </w:rPr>
        <w:footnoteRef/>
      </w:r>
      <w:r>
        <w:tab/>
        <w:t xml:space="preserve">Figure 8, </w:t>
      </w:r>
      <w:r w:rsidRPr="00B75EC4">
        <w:rPr>
          <w:szCs w:val="24"/>
          <w:lang w:val="en-IE"/>
        </w:rPr>
        <w:t>2026 EU Justice Scoreboard</w:t>
      </w:r>
      <w:r>
        <w:rPr>
          <w:szCs w:val="24"/>
          <w:lang w:val="en-IE"/>
        </w:rPr>
        <w:t>.</w:t>
      </w:r>
    </w:p>
  </w:footnote>
  <w:footnote w:id="31">
    <w:p w14:paraId="558CF2B0" w14:textId="4E97444E" w:rsidR="00A24A13" w:rsidRPr="00B75EC4" w:rsidRDefault="00A24A13" w:rsidP="00A24A13">
      <w:pPr>
        <w:pStyle w:val="FootnoteText"/>
        <w:rPr>
          <w:lang w:val="en-IE"/>
        </w:rPr>
      </w:pPr>
      <w:r w:rsidRPr="00B75EC4">
        <w:rPr>
          <w:rStyle w:val="FootnoteReference"/>
        </w:rPr>
        <w:footnoteRef/>
      </w:r>
      <w:r w:rsidRPr="00B75EC4">
        <w:t xml:space="preserve"> </w:t>
      </w:r>
      <w:r w:rsidRPr="00B75EC4">
        <w:rPr>
          <w:szCs w:val="24"/>
          <w:lang w:val="en-IE"/>
        </w:rPr>
        <w:tab/>
        <w:t xml:space="preserve">99% in 2024 compared to 93% in 2023, </w:t>
      </w:r>
      <w:r w:rsidR="000E5037" w:rsidRPr="00B75EC4">
        <w:rPr>
          <w:szCs w:val="24"/>
          <w:lang w:val="en-IE"/>
        </w:rPr>
        <w:t xml:space="preserve">Figure </w:t>
      </w:r>
      <w:r w:rsidR="0014269D">
        <w:rPr>
          <w:szCs w:val="24"/>
          <w:lang w:val="en-IE"/>
        </w:rPr>
        <w:t>10</w:t>
      </w:r>
      <w:r w:rsidR="000E5037" w:rsidRPr="00B75EC4">
        <w:rPr>
          <w:szCs w:val="24"/>
          <w:lang w:val="en-IE"/>
        </w:rPr>
        <w:t xml:space="preserve">, </w:t>
      </w:r>
      <w:r w:rsidRPr="00B75EC4">
        <w:rPr>
          <w:szCs w:val="24"/>
          <w:lang w:val="en-IE"/>
        </w:rPr>
        <w:t xml:space="preserve">2026 </w:t>
      </w:r>
      <w:r w:rsidRPr="00B75EC4">
        <w:rPr>
          <w:lang w:val="en-IE"/>
        </w:rPr>
        <w:t>EU Justice Scoreboard.</w:t>
      </w:r>
    </w:p>
  </w:footnote>
  <w:footnote w:id="32">
    <w:p w14:paraId="1B473F0E" w14:textId="389F916C" w:rsidR="00A24A13" w:rsidRPr="003964DC"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szCs w:val="24"/>
          <w:lang w:val="en-IE"/>
        </w:rPr>
        <w:t xml:space="preserve">99.7% in 2024 compared to 105.1 in 2023, </w:t>
      </w:r>
      <w:r w:rsidR="00C0024E" w:rsidRPr="00B75EC4">
        <w:rPr>
          <w:szCs w:val="24"/>
          <w:lang w:val="en-IE"/>
        </w:rPr>
        <w:t>Figure 1</w:t>
      </w:r>
      <w:r w:rsidR="00CA4DF1">
        <w:rPr>
          <w:szCs w:val="24"/>
          <w:lang w:val="en-IE"/>
        </w:rPr>
        <w:t>1</w:t>
      </w:r>
      <w:r w:rsidR="00C0024E" w:rsidRPr="00B75EC4">
        <w:rPr>
          <w:szCs w:val="24"/>
          <w:lang w:val="en-IE"/>
        </w:rPr>
        <w:t xml:space="preserve">, </w:t>
      </w:r>
      <w:r w:rsidRPr="00B75EC4">
        <w:rPr>
          <w:szCs w:val="24"/>
          <w:lang w:val="en-IE"/>
        </w:rPr>
        <w:t xml:space="preserve">2026 </w:t>
      </w:r>
      <w:r w:rsidRPr="00B75EC4">
        <w:rPr>
          <w:lang w:val="en-IE"/>
        </w:rPr>
        <w:t>EU Justice Scoreboard.</w:t>
      </w:r>
    </w:p>
  </w:footnote>
  <w:footnote w:id="33">
    <w:p w14:paraId="174AABE5" w14:textId="5C9AA643"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009A6EBA" w:rsidRPr="00B75EC4">
        <w:rPr>
          <w:lang w:val="en-IE"/>
        </w:rPr>
        <w:t xml:space="preserve">Figure 13, </w:t>
      </w:r>
      <w:r w:rsidRPr="00B75EC4">
        <w:rPr>
          <w:lang w:val="en-IE"/>
        </w:rPr>
        <w:t xml:space="preserve">2026 EU Justice Scoreboard. </w:t>
      </w:r>
    </w:p>
  </w:footnote>
  <w:footnote w:id="34">
    <w:p w14:paraId="71053C0B" w14:textId="77777777" w:rsidR="002C2921" w:rsidRPr="00B75EC4" w:rsidRDefault="00A24A13" w:rsidP="00A24A13">
      <w:pPr>
        <w:pStyle w:val="FootnoteText"/>
        <w:rPr>
          <w:szCs w:val="24"/>
          <w:lang w:val="en-IE"/>
        </w:rPr>
      </w:pPr>
      <w:r w:rsidRPr="00B75EC4">
        <w:rPr>
          <w:rStyle w:val="FootnoteReference"/>
          <w:lang w:val="en-IE"/>
        </w:rPr>
        <w:footnoteRef/>
      </w:r>
      <w:r w:rsidRPr="00B75EC4">
        <w:rPr>
          <w:rStyle w:val="FootnoteReference"/>
          <w:lang w:val="en-IE"/>
        </w:rPr>
        <w:tab/>
      </w:r>
      <w:r w:rsidRPr="00B75EC4">
        <w:rPr>
          <w:szCs w:val="24"/>
          <w:lang w:val="en-IE"/>
        </w:rPr>
        <w:t xml:space="preserve">89 670 ongoing cases at the end of 2024 compared to 85 086 ongoing cases at the end of 2021. </w:t>
      </w:r>
    </w:p>
    <w:p w14:paraId="26B11F53" w14:textId="33E943DD" w:rsidR="00A24A13" w:rsidRPr="00B75EC4" w:rsidRDefault="00A24A13" w:rsidP="00F32703">
      <w:pPr>
        <w:pStyle w:val="FootnoteText"/>
        <w:ind w:firstLine="0"/>
        <w:rPr>
          <w:lang w:val="en-IE"/>
        </w:rPr>
      </w:pPr>
      <w:r w:rsidRPr="00B75EC4">
        <w:rPr>
          <w:lang w:val="en-IE"/>
        </w:rPr>
        <w:t>Country visit</w:t>
      </w:r>
      <w:r w:rsidR="0028575F" w:rsidRPr="00B75EC4">
        <w:rPr>
          <w:lang w:val="en-IE"/>
        </w:rPr>
        <w:t xml:space="preserve"> Sweden</w:t>
      </w:r>
      <w:r w:rsidRPr="00B75EC4">
        <w:rPr>
          <w:lang w:val="en-IE"/>
        </w:rPr>
        <w:t>, National Courts Administration.</w:t>
      </w:r>
    </w:p>
  </w:footnote>
  <w:footnote w:id="35">
    <w:p w14:paraId="740B704A" w14:textId="16DD41DD"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 xml:space="preserve">2025 Rule of Law Report, Sweden, p. 5. </w:t>
      </w:r>
    </w:p>
  </w:footnote>
  <w:footnote w:id="36">
    <w:p w14:paraId="75DFCF79" w14:textId="2A262E99"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001638FF" w:rsidRPr="00B75EC4">
        <w:rPr>
          <w:lang w:val="en-IE"/>
        </w:rPr>
        <w:t xml:space="preserve">Figures 45, 46 and 47, </w:t>
      </w:r>
      <w:r w:rsidRPr="00B75EC4">
        <w:t xml:space="preserve">2026 EU Justice Scoreboard. </w:t>
      </w:r>
      <w:r w:rsidRPr="00B75EC4">
        <w:rPr>
          <w:lang w:val="en-IE"/>
        </w:rPr>
        <w:t>The government notes that the parties to a proceeding may, upon request, have access to all documentation in the case in electronic form.</w:t>
      </w:r>
    </w:p>
  </w:footnote>
  <w:footnote w:id="37">
    <w:p w14:paraId="26275A42" w14:textId="53DA8409" w:rsidR="00A24A13" w:rsidRPr="00B75EC4" w:rsidRDefault="00A24A13" w:rsidP="00A24A13">
      <w:pPr>
        <w:pStyle w:val="FootnoteText"/>
        <w:contextualSpacing/>
      </w:pPr>
      <w:r w:rsidRPr="00B75EC4">
        <w:rPr>
          <w:rStyle w:val="FootnoteReference"/>
        </w:rPr>
        <w:footnoteRef/>
      </w:r>
      <w:r w:rsidRPr="00B75EC4">
        <w:t xml:space="preserve">  </w:t>
      </w:r>
      <w:r w:rsidR="009A6EBA" w:rsidRPr="00B75EC4">
        <w:tab/>
      </w:r>
      <w:r w:rsidRPr="00B75EC4">
        <w:t>The level of perceived corruption is categorised as follows: low (above 79); relatively low (between 79-60), relatively high (between 59-50), high (below 50).</w:t>
      </w:r>
    </w:p>
  </w:footnote>
  <w:footnote w:id="38">
    <w:p w14:paraId="4EBE4ED9" w14:textId="77777777" w:rsidR="00A24A13" w:rsidRPr="00B75EC4" w:rsidRDefault="00A24A13" w:rsidP="00A24A13">
      <w:pPr>
        <w:pStyle w:val="FootnoteText"/>
      </w:pPr>
      <w:r w:rsidRPr="00B75EC4">
        <w:rPr>
          <w:rStyle w:val="FootnoteReference"/>
        </w:rPr>
        <w:footnoteRef/>
      </w:r>
      <w:r w:rsidRPr="00B75EC4">
        <w:t xml:space="preserve"> </w:t>
      </w:r>
      <w:r w:rsidRPr="00B75EC4">
        <w:tab/>
        <w:t>In 2021 the score was 85, while, in 2025, the score is 80. The score significantly increases/decreases when it changes more than five points; improves/deteriorates (changes between 4-5 points); has been relatively stable (changes from 1-3 points) in the last five years.</w:t>
      </w:r>
    </w:p>
  </w:footnote>
  <w:footnote w:id="39">
    <w:p w14:paraId="75E3AF7F" w14:textId="009A60E3" w:rsidR="00A24A13" w:rsidRPr="00B75EC4" w:rsidRDefault="00A24A13" w:rsidP="00A24A13">
      <w:pPr>
        <w:pStyle w:val="FootnoteText"/>
        <w:rPr>
          <w:lang w:val="en-IE"/>
        </w:rPr>
      </w:pPr>
      <w:r w:rsidRPr="00B75EC4">
        <w:rPr>
          <w:rStyle w:val="FootnoteReference"/>
        </w:rPr>
        <w:footnoteRef/>
      </w:r>
      <w:r w:rsidRPr="00B75EC4">
        <w:t xml:space="preserve">  </w:t>
      </w:r>
      <w:r w:rsidR="00893221" w:rsidRPr="00B75EC4">
        <w:tab/>
      </w:r>
      <w:r w:rsidRPr="00B75EC4">
        <w:t>Data from Special Eurobarometer 573 (2026) and Flash Eurobarometer 582 (2026).</w:t>
      </w:r>
    </w:p>
  </w:footnote>
  <w:footnote w:id="40">
    <w:p w14:paraId="3AD0A515" w14:textId="08315657" w:rsidR="00A24A13" w:rsidRPr="00B75EC4" w:rsidRDefault="00A24A13" w:rsidP="00A24A13">
      <w:pPr>
        <w:pStyle w:val="FootnoteText"/>
        <w:rPr>
          <w:lang w:val="en-IE"/>
        </w:rPr>
      </w:pPr>
      <w:r w:rsidRPr="00B75EC4">
        <w:rPr>
          <w:rStyle w:val="FootnoteReference"/>
          <w:lang w:val="en-IE"/>
        </w:rPr>
        <w:footnoteRef/>
      </w:r>
      <w:r w:rsidRPr="00B75EC4">
        <w:rPr>
          <w:rStyle w:val="FootnoteReference"/>
          <w:lang w:val="en-IE"/>
        </w:rPr>
        <w:tab/>
      </w:r>
      <w:r w:rsidRPr="00B75EC4">
        <w:rPr>
          <w:lang w:val="en-IE"/>
        </w:rPr>
        <w:t>OECD (2025),</w:t>
      </w:r>
      <w:r w:rsidR="009977BE" w:rsidRPr="00F32703">
        <w:rPr>
          <w:lang w:val="en-IE"/>
        </w:rPr>
        <w:t xml:space="preserve"> </w:t>
      </w:r>
      <w:r w:rsidR="00A27550" w:rsidRPr="00B75EC4">
        <w:rPr>
          <w:lang w:val="en-IE"/>
        </w:rPr>
        <w:t>Integrity Review of Sweden,</w:t>
      </w:r>
      <w:r w:rsidRPr="00B75EC4">
        <w:rPr>
          <w:lang w:val="en-IE"/>
        </w:rPr>
        <w:t xml:space="preserve"> p. 28. </w:t>
      </w:r>
    </w:p>
  </w:footnote>
  <w:footnote w:id="41">
    <w:p w14:paraId="7159D98A" w14:textId="77777777" w:rsidR="00A24A13" w:rsidRPr="003964DC" w:rsidRDefault="00A24A13" w:rsidP="00A24A13">
      <w:pPr>
        <w:pStyle w:val="FootnoteText"/>
        <w:rPr>
          <w:lang w:val="en-IE"/>
        </w:rPr>
      </w:pPr>
      <w:r w:rsidRPr="00B75EC4">
        <w:rPr>
          <w:rStyle w:val="FootnoteReference"/>
          <w:lang w:val="en-IE"/>
        </w:rPr>
        <w:footnoteRef/>
      </w:r>
      <w:r w:rsidRPr="00B75EC4">
        <w:rPr>
          <w:lang w:val="en-IE"/>
        </w:rPr>
        <w:tab/>
        <w:t>The forum of six agencies is a government-mandated coordination group of key Swedish authorities jointly responsible for reviewing the current Action Plan. The Swedish Economic Crime Authority was formally added to the forum of six agencies, enhancing cross-agency collaboration. Country visit Sweden, Swedish Government.</w:t>
      </w:r>
    </w:p>
  </w:footnote>
  <w:footnote w:id="42">
    <w:p w14:paraId="1EFB64D7" w14:textId="3E3B4963" w:rsidR="00A24A13" w:rsidRPr="00B75EC4" w:rsidRDefault="00A24A13" w:rsidP="00A24A13">
      <w:pPr>
        <w:pStyle w:val="FootnoteText"/>
        <w:rPr>
          <w:lang w:val="en-IE"/>
        </w:rPr>
      </w:pPr>
      <w:r w:rsidRPr="008923B0">
        <w:rPr>
          <w:rStyle w:val="FootnoteReference"/>
          <w:lang w:val="en-IE"/>
        </w:rPr>
        <w:footnoteRef/>
      </w:r>
      <w:r w:rsidRPr="008923B0">
        <w:rPr>
          <w:lang w:val="en-IE"/>
        </w:rPr>
        <w:t xml:space="preserve"> </w:t>
      </w:r>
      <w:r w:rsidRPr="00B75EC4">
        <w:rPr>
          <w:lang w:val="en-IE"/>
        </w:rPr>
        <w:tab/>
        <w:t xml:space="preserve">The adoption of a comprehensive anti-corruption strategy has also </w:t>
      </w:r>
      <w:r w:rsidR="005F2628" w:rsidRPr="00B75EC4">
        <w:rPr>
          <w:lang w:val="en-IE"/>
        </w:rPr>
        <w:t xml:space="preserve">been </w:t>
      </w:r>
      <w:r w:rsidRPr="00B75EC4">
        <w:rPr>
          <w:lang w:val="en-IE"/>
        </w:rPr>
        <w:t>recommended by the OECD in its Integrity Review of Sweden, a broad review by the OECD requested by the Swedish Government. OECD (2025), p. 26, and Country visit Sweden, Agency for Public Management.</w:t>
      </w:r>
    </w:p>
  </w:footnote>
  <w:footnote w:id="43">
    <w:p w14:paraId="2D58608D"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Country visit Sweden, Swedish Government.</w:t>
      </w:r>
    </w:p>
  </w:footnote>
  <w:footnote w:id="44">
    <w:p w14:paraId="327CCFE6" w14:textId="037B3FAC" w:rsidR="00A24A13" w:rsidRPr="00B75EC4" w:rsidRDefault="00A24A13" w:rsidP="00A24A13">
      <w:pPr>
        <w:pStyle w:val="FootnoteText"/>
        <w:rPr>
          <w:lang w:val="en-IE"/>
        </w:rPr>
      </w:pPr>
      <w:r w:rsidRPr="00B75EC4">
        <w:rPr>
          <w:rStyle w:val="FootnoteReference"/>
          <w:lang w:val="en-IE"/>
        </w:rPr>
        <w:footnoteRef/>
      </w:r>
      <w:r w:rsidRPr="00B75EC4">
        <w:rPr>
          <w:lang w:val="en-IE"/>
        </w:rPr>
        <w:tab/>
        <w:t>The draft bill is based on the Inquiry on Criminal Law Reform, appointed in June 2025, which in its report (SOU 2025:66) proposed inter alia increased penalties for a wide range of offences</w:t>
      </w:r>
      <w:r w:rsidR="00D54CA7" w:rsidRPr="00B75EC4">
        <w:rPr>
          <w:lang w:val="en-IE"/>
        </w:rPr>
        <w:t>,</w:t>
      </w:r>
      <w:r w:rsidRPr="00B75EC4">
        <w:rPr>
          <w:lang w:val="en-IE"/>
        </w:rPr>
        <w:t xml:space="preserve"> Swedish Government (2026), written input, p. 7.</w:t>
      </w:r>
    </w:p>
  </w:footnote>
  <w:footnote w:id="45">
    <w:p w14:paraId="794079C0" w14:textId="77777777" w:rsidR="00A24A13" w:rsidRPr="00B75EC4" w:rsidRDefault="00A24A13" w:rsidP="00A24A13">
      <w:pPr>
        <w:pStyle w:val="FootnoteText"/>
        <w:rPr>
          <w:lang w:val="en-IE"/>
        </w:rPr>
      </w:pPr>
      <w:r w:rsidRPr="00B75EC4">
        <w:rPr>
          <w:rStyle w:val="FootnoteReference"/>
        </w:rPr>
        <w:footnoteRef/>
      </w:r>
      <w:r w:rsidRPr="00B75EC4">
        <w:t xml:space="preserve"> </w:t>
      </w:r>
      <w:r w:rsidRPr="00B75EC4">
        <w:rPr>
          <w:lang w:val="en-IE"/>
        </w:rPr>
        <w:tab/>
        <w:t>Swedish Government (2026), written input, p. 7.</w:t>
      </w:r>
    </w:p>
  </w:footnote>
  <w:footnote w:id="46">
    <w:p w14:paraId="398BBABA" w14:textId="23B197E9" w:rsidR="00A24A13" w:rsidRPr="00B75EC4" w:rsidRDefault="00A24A13" w:rsidP="00A24A13">
      <w:pPr>
        <w:pStyle w:val="FootnoteText"/>
        <w:rPr>
          <w:lang w:val="en-IE"/>
        </w:rPr>
      </w:pPr>
      <w:r w:rsidRPr="00B75EC4">
        <w:rPr>
          <w:rStyle w:val="FootnoteReference"/>
          <w:lang w:val="en-IE"/>
        </w:rPr>
        <w:footnoteRef/>
      </w:r>
      <w:r w:rsidRPr="00B75EC4">
        <w:rPr>
          <w:lang w:val="en-IE"/>
        </w:rPr>
        <w:tab/>
        <w:t xml:space="preserve">The draft bill is based on the Inquiry on </w:t>
      </w:r>
      <w:r w:rsidR="009F026E" w:rsidRPr="00B75EC4">
        <w:rPr>
          <w:lang w:val="en-IE"/>
        </w:rPr>
        <w:t>m</w:t>
      </w:r>
      <w:r w:rsidRPr="00B75EC4">
        <w:rPr>
          <w:lang w:val="en-IE"/>
        </w:rPr>
        <w:t xml:space="preserve">easures under criminal law against corruption and official misconduct (SOU 2025:87). </w:t>
      </w:r>
    </w:p>
  </w:footnote>
  <w:footnote w:id="47">
    <w:p w14:paraId="408754B3"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Country visit Sweden, Swedish Government.</w:t>
      </w:r>
    </w:p>
  </w:footnote>
  <w:footnote w:id="48">
    <w:p w14:paraId="22C93CC8" w14:textId="1C034962" w:rsidR="00A24A13" w:rsidRPr="00B75EC4" w:rsidRDefault="00A24A13" w:rsidP="00A24A13">
      <w:pPr>
        <w:pStyle w:val="FootnoteText"/>
        <w:rPr>
          <w:lang w:val="en-IE"/>
        </w:rPr>
      </w:pPr>
      <w:r w:rsidRPr="00B75EC4">
        <w:rPr>
          <w:rStyle w:val="FootnoteReference"/>
          <w:lang w:val="en-IE"/>
        </w:rPr>
        <w:footnoteRef/>
      </w:r>
      <w:r w:rsidRPr="00B75EC4">
        <w:rPr>
          <w:lang w:val="en-IE"/>
        </w:rPr>
        <w:tab/>
        <w:t xml:space="preserve">United Nations, </w:t>
      </w:r>
      <w:r w:rsidRPr="00F32703">
        <w:rPr>
          <w:iCs/>
          <w:lang w:val="en-IE"/>
        </w:rPr>
        <w:t xml:space="preserve">United Nations Convention against </w:t>
      </w:r>
      <w:r w:rsidR="00737836" w:rsidRPr="00B75EC4">
        <w:rPr>
          <w:iCs/>
          <w:lang w:val="en-IE"/>
        </w:rPr>
        <w:t>c</w:t>
      </w:r>
      <w:r w:rsidRPr="00F32703">
        <w:rPr>
          <w:iCs/>
          <w:lang w:val="en-IE"/>
        </w:rPr>
        <w:t>orruption</w:t>
      </w:r>
      <w:r w:rsidRPr="00B75EC4">
        <w:rPr>
          <w:iCs/>
          <w:lang w:val="en-IE"/>
        </w:rPr>
        <w:t xml:space="preserve"> </w:t>
      </w:r>
      <w:r w:rsidRPr="00B75EC4">
        <w:rPr>
          <w:lang w:val="en-IE"/>
        </w:rPr>
        <w:t>(adopted 31 October 2003, entered into force 14 December 2005) Art 19. Article 19 of the UNCAC encourages States to criminali</w:t>
      </w:r>
      <w:r w:rsidR="00245A84" w:rsidRPr="00B75EC4">
        <w:rPr>
          <w:lang w:val="en-IE"/>
        </w:rPr>
        <w:t>s</w:t>
      </w:r>
      <w:r w:rsidRPr="00B75EC4">
        <w:rPr>
          <w:lang w:val="en-IE"/>
        </w:rPr>
        <w:t>e intentional misuse of official powers in violation of law to obtain an undue advantage, even where no bribery or payment is involved. Country visit Sweden, Swedish Government.</w:t>
      </w:r>
    </w:p>
  </w:footnote>
  <w:footnote w:id="49">
    <w:p w14:paraId="1D2D91C3" w14:textId="45230526" w:rsidR="00A24A13" w:rsidRPr="00B75EC4" w:rsidRDefault="00A24A13" w:rsidP="00A24A13">
      <w:pPr>
        <w:pStyle w:val="FootnoteText"/>
        <w:rPr>
          <w:lang w:val="en-IE"/>
        </w:rPr>
      </w:pPr>
      <w:r w:rsidRPr="00B75EC4">
        <w:rPr>
          <w:rStyle w:val="FootnoteReference"/>
          <w:lang w:val="en-IE"/>
        </w:rPr>
        <w:footnoteRef/>
      </w:r>
      <w:r w:rsidRPr="00B75EC4">
        <w:rPr>
          <w:lang w:val="en-IE"/>
        </w:rPr>
        <w:tab/>
        <w:t>In its Integrity Review, the OECD also noted especially the need to expand accountability for corruption, improve enforcement by strengthening legal provisions on the reporting of corruption, corporate criminal liability and sanctions, and ensure that all corruption offences have aggravated variants</w:t>
      </w:r>
      <w:r w:rsidR="00245A84" w:rsidRPr="00B75EC4">
        <w:rPr>
          <w:lang w:val="en-IE"/>
        </w:rPr>
        <w:t>,</w:t>
      </w:r>
      <w:r w:rsidRPr="00B75EC4">
        <w:rPr>
          <w:lang w:val="en-IE"/>
        </w:rPr>
        <w:t xml:space="preserve"> OECD (2025), p. 11.</w:t>
      </w:r>
    </w:p>
  </w:footnote>
  <w:footnote w:id="50">
    <w:p w14:paraId="783D95CA" w14:textId="302B662B" w:rsidR="00A24A13" w:rsidRPr="00B75EC4" w:rsidRDefault="00A24A13" w:rsidP="00A24A13">
      <w:pPr>
        <w:pStyle w:val="FootnoteText"/>
        <w:rPr>
          <w:lang w:val="en-IE"/>
        </w:rPr>
      </w:pPr>
      <w:r w:rsidRPr="00B75EC4">
        <w:rPr>
          <w:rStyle w:val="FootnoteReference"/>
          <w:lang w:val="en-IE"/>
        </w:rPr>
        <w:footnoteRef/>
      </w:r>
      <w:r w:rsidRPr="00B75EC4">
        <w:rPr>
          <w:lang w:val="en-IE"/>
        </w:rPr>
        <w:tab/>
        <w:t xml:space="preserve">The 2025 Rule of Law Report recommended </w:t>
      </w:r>
      <w:r w:rsidR="000630B2" w:rsidRPr="00B75EC4">
        <w:rPr>
          <w:lang w:val="en-IE"/>
        </w:rPr>
        <w:t xml:space="preserve">to </w:t>
      </w:r>
      <w:r w:rsidRPr="00B75EC4">
        <w:rPr>
          <w:lang w:val="en-IE"/>
        </w:rPr>
        <w:t>Sweden to “strengthen the fight against foreign bribery, including through amending the existing legal framework and improving enforcement.” Some progress was assessed on this recommendation in 2023 and 2024 and no further progress</w:t>
      </w:r>
      <w:r w:rsidR="005A6FDF" w:rsidRPr="00B75EC4">
        <w:rPr>
          <w:lang w:val="en-IE"/>
        </w:rPr>
        <w:t xml:space="preserve"> was assessed</w:t>
      </w:r>
      <w:r w:rsidRPr="00B75EC4">
        <w:rPr>
          <w:lang w:val="en-IE"/>
        </w:rPr>
        <w:t xml:space="preserve"> in 2025.</w:t>
      </w:r>
    </w:p>
  </w:footnote>
  <w:footnote w:id="51">
    <w:p w14:paraId="6DA8702C" w14:textId="4827AA75" w:rsidR="00A24A13" w:rsidRPr="00B75EC4" w:rsidRDefault="00A24A13" w:rsidP="00A24A13">
      <w:pPr>
        <w:pStyle w:val="FootnoteText"/>
        <w:rPr>
          <w:lang w:val="en-IE"/>
        </w:rPr>
      </w:pPr>
      <w:r w:rsidRPr="00B75EC4">
        <w:rPr>
          <w:rStyle w:val="FootnoteReference"/>
          <w:lang w:val="en-IE"/>
        </w:rPr>
        <w:footnoteRef/>
      </w:r>
      <w:r w:rsidRPr="00B75EC4">
        <w:rPr>
          <w:lang w:val="en-IE"/>
        </w:rPr>
        <w:tab/>
        <w:t>See footnote</w:t>
      </w:r>
      <w:r w:rsidR="0084734F">
        <w:rPr>
          <w:lang w:val="en-IE"/>
        </w:rPr>
        <w:t>s</w:t>
      </w:r>
      <w:r w:rsidRPr="00B75EC4">
        <w:rPr>
          <w:lang w:val="en-IE"/>
        </w:rPr>
        <w:t xml:space="preserve"> 4</w:t>
      </w:r>
      <w:r w:rsidR="0084734F">
        <w:rPr>
          <w:lang w:val="en-IE"/>
        </w:rPr>
        <w:t>5 and 47</w:t>
      </w:r>
      <w:r w:rsidR="00202F86">
        <w:rPr>
          <w:lang w:val="en-IE"/>
        </w:rPr>
        <w:t>.</w:t>
      </w:r>
      <w:r w:rsidRPr="00B75EC4">
        <w:rPr>
          <w:lang w:val="en-IE"/>
        </w:rPr>
        <w:t xml:space="preserve"> </w:t>
      </w:r>
    </w:p>
  </w:footnote>
  <w:footnote w:id="52">
    <w:p w14:paraId="28997B79" w14:textId="4F1A5AA0" w:rsidR="001C6131" w:rsidRPr="00F32703" w:rsidRDefault="001C6131">
      <w:pPr>
        <w:pStyle w:val="FootnoteText"/>
        <w:rPr>
          <w:lang w:val="en-IE"/>
        </w:rPr>
      </w:pPr>
      <w:r>
        <w:rPr>
          <w:rStyle w:val="FootnoteReference"/>
        </w:rPr>
        <w:footnoteRef/>
      </w:r>
      <w:r>
        <w:tab/>
        <w:t xml:space="preserve">The Committee of Inquiry, </w:t>
      </w:r>
      <w:r w:rsidRPr="001C6131">
        <w:t>established in February 2024 with a broad mandate to review criminal law legislation on corruption</w:t>
      </w:r>
      <w:r>
        <w:t>,</w:t>
      </w:r>
      <w:r w:rsidRPr="001C6131">
        <w:t xml:space="preserve"> delivered its report in July 2025</w:t>
      </w:r>
      <w:r>
        <w:t xml:space="preserve">. </w:t>
      </w:r>
    </w:p>
  </w:footnote>
  <w:footnote w:id="53">
    <w:p w14:paraId="71E449AF"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Under the current framework, prosecution must establish that the funds were in fact used for a bribe.</w:t>
      </w:r>
    </w:p>
  </w:footnote>
  <w:footnote w:id="54">
    <w:p w14:paraId="5DEBA899" w14:textId="77777777" w:rsidR="00A24A13" w:rsidRPr="008A7751" w:rsidRDefault="00A24A13" w:rsidP="00A24A13">
      <w:pPr>
        <w:pStyle w:val="FootnoteText"/>
        <w:rPr>
          <w:lang w:val="en-IE"/>
        </w:rPr>
      </w:pPr>
      <w:r w:rsidRPr="00B75EC4">
        <w:rPr>
          <w:rStyle w:val="FootnoteReference"/>
          <w:lang w:val="en-IE"/>
        </w:rPr>
        <w:footnoteRef/>
      </w:r>
      <w:r w:rsidRPr="00B75EC4">
        <w:rPr>
          <w:lang w:val="en-IE"/>
        </w:rPr>
        <w:tab/>
      </w:r>
      <w:r w:rsidRPr="008A7751">
        <w:rPr>
          <w:lang w:val="en-IE"/>
        </w:rPr>
        <w:t>Country visit Sweden, Transparency International Sweden.</w:t>
      </w:r>
    </w:p>
  </w:footnote>
  <w:footnote w:id="55">
    <w:p w14:paraId="2DB240DF" w14:textId="4ED48E8D" w:rsidR="009733AE" w:rsidRPr="00F32703" w:rsidRDefault="009733AE">
      <w:pPr>
        <w:pStyle w:val="FootnoteText"/>
        <w:rPr>
          <w:lang w:val="en-IE"/>
        </w:rPr>
      </w:pPr>
      <w:r w:rsidRPr="008A7751">
        <w:rPr>
          <w:rStyle w:val="FootnoteReference"/>
        </w:rPr>
        <w:footnoteRef/>
      </w:r>
      <w:r w:rsidRPr="008A7751">
        <w:tab/>
        <w:t>Swedish Government</w:t>
      </w:r>
      <w:r w:rsidR="00D024A3" w:rsidRPr="008A7751">
        <w:t xml:space="preserve"> (2026</w:t>
      </w:r>
      <w:r w:rsidR="008E170C">
        <w:t>c</w:t>
      </w:r>
      <w:r w:rsidR="00D024A3" w:rsidRPr="008A7751">
        <w:t>)</w:t>
      </w:r>
      <w:r w:rsidRPr="008A7751">
        <w:t>, additional written inpu</w:t>
      </w:r>
      <w:r w:rsidR="00077FDA" w:rsidRPr="008A7751">
        <w:t>t</w:t>
      </w:r>
      <w:r w:rsidRPr="008A7751">
        <w:t xml:space="preserve">, p. </w:t>
      </w:r>
      <w:r w:rsidR="00077FDA" w:rsidRPr="008A7751">
        <w:t>6.</w:t>
      </w:r>
    </w:p>
  </w:footnote>
  <w:footnote w:id="56">
    <w:p w14:paraId="34AFD052" w14:textId="77777777" w:rsidR="00A24A13" w:rsidRPr="00B75EC4" w:rsidRDefault="00A24A13" w:rsidP="00A24A13">
      <w:pPr>
        <w:pStyle w:val="FootnoteText"/>
        <w:rPr>
          <w:lang w:val="en-IE"/>
        </w:rPr>
      </w:pPr>
      <w:r w:rsidRPr="003964DC">
        <w:rPr>
          <w:rStyle w:val="FootnoteReference"/>
          <w:lang w:val="en-IE"/>
        </w:rPr>
        <w:footnoteRef/>
      </w:r>
      <w:r w:rsidRPr="003964DC">
        <w:rPr>
          <w:lang w:val="en-IE"/>
        </w:rPr>
        <w:t xml:space="preserve"> </w:t>
      </w:r>
      <w:r w:rsidRPr="00D731E3">
        <w:rPr>
          <w:lang w:val="en-IE"/>
        </w:rPr>
        <w:tab/>
      </w:r>
      <w:r w:rsidRPr="00B75EC4">
        <w:rPr>
          <w:lang w:val="en-IE"/>
        </w:rPr>
        <w:t>In addition, international legal cooperation remains a significant barrier to effective investigation and prosecution. Country visit Sweden, Prosecution Service.</w:t>
      </w:r>
    </w:p>
  </w:footnote>
  <w:footnote w:id="57">
    <w:p w14:paraId="57D7B25A" w14:textId="5C397AB9" w:rsidR="00A24A13" w:rsidRPr="00B75EC4" w:rsidRDefault="00A24A13" w:rsidP="00A24A13">
      <w:pPr>
        <w:pStyle w:val="FootnoteText"/>
        <w:rPr>
          <w:lang w:val="en-IE"/>
        </w:rPr>
      </w:pPr>
      <w:r w:rsidRPr="00B75EC4">
        <w:rPr>
          <w:rStyle w:val="FootnoteReference"/>
        </w:rPr>
        <w:footnoteRef/>
      </w:r>
      <w:r w:rsidRPr="00B75EC4">
        <w:t xml:space="preserve"> </w:t>
      </w:r>
      <w:r w:rsidRPr="00B75EC4">
        <w:rPr>
          <w:lang w:val="en-IE"/>
        </w:rPr>
        <w:tab/>
        <w:t>2025 Rule of Law Report, Sweden, p. 9.</w:t>
      </w:r>
    </w:p>
  </w:footnote>
  <w:footnote w:id="58">
    <w:p w14:paraId="08E21B5D" w14:textId="77777777" w:rsidR="00A24A13" w:rsidRPr="003964DC" w:rsidRDefault="00A24A13" w:rsidP="00A24A13">
      <w:pPr>
        <w:pStyle w:val="FootnoteText"/>
        <w:rPr>
          <w:lang w:val="en-IE"/>
        </w:rPr>
      </w:pPr>
      <w:r w:rsidRPr="00B75EC4">
        <w:rPr>
          <w:rStyle w:val="FootnoteReference"/>
          <w:lang w:val="en-IE"/>
        </w:rPr>
        <w:footnoteRef/>
      </w:r>
      <w:r w:rsidRPr="00B75EC4">
        <w:rPr>
          <w:lang w:val="en-IE"/>
        </w:rPr>
        <w:tab/>
        <w:t>Country visit Sweden, Prosecution Service.</w:t>
      </w:r>
    </w:p>
  </w:footnote>
  <w:footnote w:id="59">
    <w:p w14:paraId="65406B24" w14:textId="4679B7F1" w:rsidR="00A24A13" w:rsidRPr="00D731E3" w:rsidRDefault="00A24A13" w:rsidP="00A24A13">
      <w:pPr>
        <w:pStyle w:val="FootnoteText"/>
        <w:rPr>
          <w:lang w:val="en-IE"/>
        </w:rPr>
      </w:pPr>
      <w:r w:rsidRPr="003964DC">
        <w:rPr>
          <w:rStyle w:val="FootnoteReference"/>
          <w:lang w:val="en-IE"/>
        </w:rPr>
        <w:footnoteRef/>
      </w:r>
      <w:r w:rsidRPr="003964DC">
        <w:rPr>
          <w:lang w:val="en-IE"/>
        </w:rPr>
        <w:t xml:space="preserve"> </w:t>
      </w:r>
      <w:r w:rsidRPr="00D731E3">
        <w:rPr>
          <w:lang w:val="en-IE"/>
        </w:rPr>
        <w:tab/>
      </w:r>
      <w:r w:rsidR="00E045D3" w:rsidRPr="008A7751">
        <w:rPr>
          <w:lang w:val="en-IE"/>
        </w:rPr>
        <w:t>Swedish Government (2026</w:t>
      </w:r>
      <w:r w:rsidR="008E170C">
        <w:rPr>
          <w:lang w:val="en-IE"/>
        </w:rPr>
        <w:t>c</w:t>
      </w:r>
      <w:r w:rsidR="00E045D3" w:rsidRPr="008A7751">
        <w:rPr>
          <w:lang w:val="en-IE"/>
        </w:rPr>
        <w:t>), p. 9.</w:t>
      </w:r>
      <w:r w:rsidR="00E045D3">
        <w:rPr>
          <w:lang w:val="en-IE"/>
        </w:rPr>
        <w:t xml:space="preserve"> </w:t>
      </w:r>
      <w:r w:rsidRPr="00542502">
        <w:rPr>
          <w:lang w:val="en-IE"/>
        </w:rPr>
        <w:t>In 2024, Sweden recorded 67 active bribery cases, 76 passive bribery cases and 9 cases of trading in influence. National Council for Crime Prevention (2026)</w:t>
      </w:r>
      <w:r w:rsidR="005E5866" w:rsidRPr="00542502">
        <w:rPr>
          <w:lang w:val="en-IE"/>
        </w:rPr>
        <w:t>,</w:t>
      </w:r>
      <w:r w:rsidRPr="00542502">
        <w:rPr>
          <w:lang w:val="en-IE"/>
        </w:rPr>
        <w:t xml:space="preserve"> additional written input</w:t>
      </w:r>
      <w:r w:rsidR="005E5866" w:rsidRPr="00542502">
        <w:rPr>
          <w:lang w:val="en-IE"/>
        </w:rPr>
        <w:t>, p.</w:t>
      </w:r>
      <w:r w:rsidR="00A4488D" w:rsidRPr="00F32703">
        <w:rPr>
          <w:lang w:val="en-IE"/>
        </w:rPr>
        <w:t>1</w:t>
      </w:r>
    </w:p>
  </w:footnote>
  <w:footnote w:id="60">
    <w:p w14:paraId="735B324B" w14:textId="3F885D4F" w:rsidR="00A24A13" w:rsidRPr="00B75EC4" w:rsidRDefault="00A24A13" w:rsidP="00A24A13">
      <w:pPr>
        <w:pStyle w:val="FootnoteText"/>
        <w:rPr>
          <w:lang w:val="en-IE"/>
        </w:rPr>
      </w:pPr>
      <w:r w:rsidRPr="003964DC">
        <w:rPr>
          <w:rStyle w:val="FootnoteReference"/>
          <w:lang w:val="en-IE"/>
        </w:rPr>
        <w:footnoteRef/>
      </w:r>
      <w:r w:rsidRPr="003964DC">
        <w:rPr>
          <w:lang w:val="en-IE"/>
        </w:rPr>
        <w:tab/>
      </w:r>
      <w:r w:rsidRPr="00B75EC4">
        <w:rPr>
          <w:lang w:val="en-IE"/>
        </w:rPr>
        <w:t>The cases involve breaches of trust, taking and giving of bribes, trading in influence, negligent financing of bribery, wrongful voting and misconduct. Police National Anti-Corruption Unit (2025), Corruption in Sweden – a situational picture, p 5.</w:t>
      </w:r>
    </w:p>
  </w:footnote>
  <w:footnote w:id="61">
    <w:p w14:paraId="0CA56EDF" w14:textId="1868F403" w:rsidR="00A24A13" w:rsidRPr="00B75EC4" w:rsidRDefault="00A24A13" w:rsidP="00A24A13">
      <w:pPr>
        <w:pStyle w:val="FootnoteText"/>
        <w:rPr>
          <w:lang w:val="en-IE"/>
        </w:rPr>
      </w:pPr>
      <w:r w:rsidRPr="00B75EC4">
        <w:rPr>
          <w:rStyle w:val="FootnoteReference"/>
          <w:lang w:val="en-IE"/>
        </w:rPr>
        <w:footnoteRef/>
      </w:r>
      <w:r w:rsidRPr="00B75EC4">
        <w:rPr>
          <w:lang w:val="en-IE"/>
        </w:rPr>
        <w:tab/>
        <w:t>19 cases were prosecuted, and 30 judgments were handed down during the period, of which 29 convictions</w:t>
      </w:r>
      <w:r w:rsidR="001778BE" w:rsidRPr="00B75EC4">
        <w:rPr>
          <w:lang w:val="en-IE"/>
        </w:rPr>
        <w:t>,</w:t>
      </w:r>
      <w:r w:rsidRPr="00B75EC4">
        <w:rPr>
          <w:lang w:val="en-IE"/>
        </w:rPr>
        <w:t xml:space="preserve"> </w:t>
      </w:r>
      <w:r w:rsidR="00AC46D0">
        <w:rPr>
          <w:lang w:val="en-IE"/>
        </w:rPr>
        <w:t xml:space="preserve">Swedish </w:t>
      </w:r>
      <w:r w:rsidRPr="00B75EC4">
        <w:rPr>
          <w:lang w:val="en-IE"/>
        </w:rPr>
        <w:t xml:space="preserve">Police </w:t>
      </w:r>
      <w:r w:rsidR="00AC46D0">
        <w:rPr>
          <w:lang w:val="en-IE"/>
        </w:rPr>
        <w:t xml:space="preserve">Authority, </w:t>
      </w:r>
      <w:r w:rsidRPr="00B75EC4">
        <w:rPr>
          <w:lang w:val="en-IE"/>
        </w:rPr>
        <w:t xml:space="preserve">National Anti-Corruption Unit (2025), Corruption in Sweden – a situational picture, pp. 4-5. </w:t>
      </w:r>
    </w:p>
  </w:footnote>
  <w:footnote w:id="62">
    <w:p w14:paraId="419B0BCC" w14:textId="77777777" w:rsidR="00A24A13" w:rsidRPr="00B75EC4" w:rsidRDefault="00A24A13" w:rsidP="00A24A13">
      <w:pPr>
        <w:pStyle w:val="FootnoteText"/>
        <w:rPr>
          <w:lang w:val="en-IE"/>
        </w:rPr>
      </w:pPr>
      <w:r w:rsidRPr="00B75EC4">
        <w:rPr>
          <w:rStyle w:val="FootnoteReference"/>
        </w:rPr>
        <w:footnoteRef/>
      </w:r>
      <w:r w:rsidRPr="00B75EC4">
        <w:t xml:space="preserve"> </w:t>
      </w:r>
      <w:r w:rsidRPr="00B75EC4">
        <w:tab/>
        <w:t>Swedish Police (2026), written contribution, p. 1.</w:t>
      </w:r>
    </w:p>
  </w:footnote>
  <w:footnote w:id="63">
    <w:p w14:paraId="74206015"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Country visit Sweden, Prosecution Service.</w:t>
      </w:r>
    </w:p>
  </w:footnote>
  <w:footnote w:id="64">
    <w:p w14:paraId="1912F0B4"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Country visit Sweden, Swedish Government.</w:t>
      </w:r>
    </w:p>
  </w:footnote>
  <w:footnote w:id="65">
    <w:p w14:paraId="06A8F299" w14:textId="38B56693" w:rsidR="00A24A13" w:rsidRPr="00B75EC4" w:rsidRDefault="00A24A13" w:rsidP="00A24A13">
      <w:pPr>
        <w:pStyle w:val="FootnoteText"/>
        <w:rPr>
          <w:lang w:val="en-IE"/>
        </w:rPr>
      </w:pPr>
      <w:r w:rsidRPr="00B75EC4">
        <w:rPr>
          <w:rStyle w:val="FootnoteReference"/>
          <w:lang w:val="en-IE"/>
        </w:rPr>
        <w:footnoteRef/>
      </w:r>
      <w:r w:rsidRPr="00B75EC4">
        <w:rPr>
          <w:lang w:val="en-IE"/>
        </w:rPr>
        <w:tab/>
        <w:t>The Centre can help detect corruption by identifying irregularities in money flows or through efforts aimed at detecting insiders within banks</w:t>
      </w:r>
      <w:r w:rsidR="001778BE" w:rsidRPr="00B75EC4">
        <w:rPr>
          <w:lang w:val="en-IE"/>
        </w:rPr>
        <w:t>,</w:t>
      </w:r>
      <w:r w:rsidRPr="00B75EC4">
        <w:rPr>
          <w:lang w:val="en-IE"/>
        </w:rPr>
        <w:t xml:space="preserve"> Swedish Government (2026), written input, p.6.</w:t>
      </w:r>
    </w:p>
  </w:footnote>
  <w:footnote w:id="66">
    <w:p w14:paraId="1A6F9CD2" w14:textId="36CECB66"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 xml:space="preserve">EPPO (2026), Annual </w:t>
      </w:r>
      <w:r w:rsidR="00315C24" w:rsidRPr="00B75EC4">
        <w:rPr>
          <w:lang w:val="en-IE"/>
        </w:rPr>
        <w:t>r</w:t>
      </w:r>
      <w:r w:rsidRPr="00B75EC4">
        <w:rPr>
          <w:lang w:val="en-IE"/>
        </w:rPr>
        <w:t>eport 2025, p. 57.</w:t>
      </w:r>
    </w:p>
  </w:footnote>
  <w:footnote w:id="67">
    <w:p w14:paraId="46DFD179" w14:textId="7B4C378B" w:rsidR="00A24A13" w:rsidRPr="00BF6638" w:rsidRDefault="00A24A13" w:rsidP="00A24A13">
      <w:pPr>
        <w:pStyle w:val="FootnoteText"/>
        <w:rPr>
          <w:lang w:val="en-IE"/>
        </w:rPr>
      </w:pPr>
      <w:r w:rsidRPr="00B75EC4">
        <w:rPr>
          <w:rStyle w:val="FootnoteReference"/>
        </w:rPr>
        <w:footnoteRef/>
      </w:r>
      <w:r w:rsidRPr="00B75EC4">
        <w:t xml:space="preserve"> </w:t>
      </w:r>
      <w:r w:rsidRPr="00B75EC4">
        <w:rPr>
          <w:lang w:val="en-IE"/>
        </w:rPr>
        <w:tab/>
      </w:r>
      <w:r w:rsidRPr="008E170C">
        <w:rPr>
          <w:lang w:val="en-IE"/>
        </w:rPr>
        <w:t xml:space="preserve">Swedish Government (2026), </w:t>
      </w:r>
      <w:r w:rsidR="008E170C" w:rsidRPr="008E170C">
        <w:rPr>
          <w:lang w:val="en-IE"/>
        </w:rPr>
        <w:t xml:space="preserve">written input, </w:t>
      </w:r>
      <w:r w:rsidRPr="008E170C">
        <w:rPr>
          <w:lang w:val="en-IE"/>
        </w:rPr>
        <w:t xml:space="preserve">p. </w:t>
      </w:r>
      <w:r w:rsidR="002E0448" w:rsidRPr="008E170C">
        <w:rPr>
          <w:lang w:val="en-IE"/>
        </w:rPr>
        <w:t>5</w:t>
      </w:r>
      <w:r w:rsidRPr="008E170C">
        <w:rPr>
          <w:lang w:val="en-IE"/>
        </w:rPr>
        <w:t>.</w:t>
      </w:r>
    </w:p>
  </w:footnote>
  <w:footnote w:id="68">
    <w:p w14:paraId="1373D6BE"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Swedish Government (2026), written input, p.5.</w:t>
      </w:r>
    </w:p>
  </w:footnote>
  <w:footnote w:id="69">
    <w:p w14:paraId="5E01EAF2" w14:textId="365DC7D2" w:rsidR="00A24A13" w:rsidRPr="00B75EC4" w:rsidRDefault="00A24A13" w:rsidP="00A24A13">
      <w:pPr>
        <w:pStyle w:val="FootnoteText"/>
        <w:rPr>
          <w:lang w:val="en-IE"/>
        </w:rPr>
      </w:pPr>
      <w:r w:rsidRPr="00B75EC4">
        <w:rPr>
          <w:rStyle w:val="FootnoteReference"/>
          <w:lang w:val="en-IE"/>
        </w:rPr>
        <w:footnoteRef/>
      </w:r>
      <w:r w:rsidRPr="00B75EC4">
        <w:rPr>
          <w:lang w:val="en-IE"/>
        </w:rPr>
        <w:tab/>
        <w:t>Sweden meets 44% of OECD criteria on the strength of conflict-of-interest regulations and none on practice, compared to OECD averages of 76% and 40%. The 2025 OECD Integrity Review recommends improving management of outside interests and financial disclosures, strengthening verification and transparency, clarifying the framework, and enhancing guidance, awareness, and proactive risk management</w:t>
      </w:r>
      <w:r w:rsidR="0091284D" w:rsidRPr="00B75EC4">
        <w:rPr>
          <w:lang w:val="en-IE"/>
        </w:rPr>
        <w:t>,</w:t>
      </w:r>
      <w:r w:rsidRPr="00B75EC4">
        <w:rPr>
          <w:lang w:val="en-IE"/>
        </w:rPr>
        <w:t xml:space="preserve"> OECD (2025), pp. 124 -142. </w:t>
      </w:r>
    </w:p>
  </w:footnote>
  <w:footnote w:id="70">
    <w:p w14:paraId="0A9F4166" w14:textId="023D3756" w:rsidR="00A24A13" w:rsidRPr="003964DC" w:rsidRDefault="00A24A13" w:rsidP="00A24A13">
      <w:pPr>
        <w:pStyle w:val="FootnoteText"/>
        <w:rPr>
          <w:lang w:val="en-IE"/>
        </w:rPr>
      </w:pPr>
      <w:r w:rsidRPr="00B75EC4">
        <w:rPr>
          <w:rStyle w:val="FootnoteReference"/>
          <w:lang w:val="en-IE"/>
        </w:rPr>
        <w:footnoteRef/>
      </w:r>
      <w:r w:rsidRPr="00B75EC4">
        <w:rPr>
          <w:lang w:val="en-IE"/>
        </w:rPr>
        <w:tab/>
        <w:t xml:space="preserve">Country visit Sweden, Swedish Government. The updated guidelines include a new section concerning the risks of conflicts of interest that can arise from the holding of financial instruments. Swedish Government (2026), </w:t>
      </w:r>
      <w:r w:rsidR="00510F0D" w:rsidRPr="00B75EC4">
        <w:rPr>
          <w:lang w:val="en-IE"/>
        </w:rPr>
        <w:t xml:space="preserve">written input, </w:t>
      </w:r>
      <w:r w:rsidRPr="00B75EC4">
        <w:rPr>
          <w:lang w:val="en-IE"/>
        </w:rPr>
        <w:t>p.6.</w:t>
      </w:r>
    </w:p>
  </w:footnote>
  <w:footnote w:id="71">
    <w:p w14:paraId="1A9CA6B8" w14:textId="73E85838" w:rsidR="00A24A13" w:rsidRPr="00280043" w:rsidRDefault="00A24A13" w:rsidP="00A24A13">
      <w:pPr>
        <w:pStyle w:val="FootnoteText"/>
      </w:pPr>
      <w:r>
        <w:rPr>
          <w:rStyle w:val="FootnoteReference"/>
        </w:rPr>
        <w:footnoteRef/>
      </w:r>
      <w:r>
        <w:t xml:space="preserve"> </w:t>
      </w:r>
      <w:r w:rsidRPr="00A12C36">
        <w:tab/>
      </w:r>
      <w:r w:rsidR="000F55F5">
        <w:t xml:space="preserve">Ethical Guidelines of the Government Offices of Sweden </w:t>
      </w:r>
      <w:r w:rsidRPr="00BF4C24">
        <w:t>(2026)</w:t>
      </w:r>
      <w:r w:rsidR="00393B69" w:rsidRPr="00BF4C24">
        <w:t>, p</w:t>
      </w:r>
      <w:r w:rsidR="0053796E">
        <w:t>p</w:t>
      </w:r>
      <w:r w:rsidR="000C5CDC" w:rsidRPr="00BF4C24">
        <w:t>.</w:t>
      </w:r>
      <w:r w:rsidR="002526D4" w:rsidRPr="00F32703">
        <w:t>1</w:t>
      </w:r>
      <w:r w:rsidR="00FD587B">
        <w:t>-10</w:t>
      </w:r>
      <w:r w:rsidR="0053796E">
        <w:t xml:space="preserve"> </w:t>
      </w:r>
      <w:r w:rsidR="002526D4" w:rsidRPr="00F32703">
        <w:t>.</w:t>
      </w:r>
    </w:p>
  </w:footnote>
  <w:footnote w:id="72">
    <w:p w14:paraId="06B4B152"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Country visit Sweden, Swedish Government.</w:t>
      </w:r>
    </w:p>
  </w:footnote>
  <w:footnote w:id="73">
    <w:p w14:paraId="46B301FC" w14:textId="19DD0672" w:rsidR="003D6176" w:rsidRPr="00F32703" w:rsidRDefault="003D6176">
      <w:pPr>
        <w:pStyle w:val="FootnoteText"/>
        <w:rPr>
          <w:lang w:val="en-IE"/>
        </w:rPr>
      </w:pPr>
      <w:r>
        <w:rPr>
          <w:rStyle w:val="FootnoteReference"/>
        </w:rPr>
        <w:footnoteRef/>
      </w:r>
      <w:r>
        <w:tab/>
      </w:r>
      <w:r w:rsidR="00EA14AC">
        <w:t xml:space="preserve">The </w:t>
      </w:r>
      <w:r w:rsidR="00BA13B8" w:rsidRPr="00BA13B8">
        <w:t xml:space="preserve">Government </w:t>
      </w:r>
      <w:r w:rsidR="000F6314" w:rsidRPr="008A7751">
        <w:t xml:space="preserve">Bill </w:t>
      </w:r>
      <w:r w:rsidR="00BA13B8" w:rsidRPr="008A7751">
        <w:t>2025/26:258</w:t>
      </w:r>
      <w:r w:rsidR="00F32703" w:rsidRPr="008A7751">
        <w:t xml:space="preserve">, </w:t>
      </w:r>
      <w:r w:rsidR="00BA13B8" w:rsidRPr="008A7751">
        <w:t>Increased Transparency in Political Processes</w:t>
      </w:r>
      <w:r w:rsidR="00F32703" w:rsidRPr="008A7751">
        <w:t xml:space="preserve"> </w:t>
      </w:r>
      <w:r w:rsidR="00CF2FF2" w:rsidRPr="008A7751">
        <w:t xml:space="preserve">was adopted by Parliament on 16 June 2026. </w:t>
      </w:r>
      <w:r w:rsidR="00BA13B8" w:rsidRPr="008A7751">
        <w:t xml:space="preserve"> </w:t>
      </w:r>
      <w:r w:rsidR="00CF2FF2" w:rsidRPr="008A7751">
        <w:t>Swedish Government (2026</w:t>
      </w:r>
      <w:r w:rsidR="008E170C">
        <w:t>c</w:t>
      </w:r>
      <w:r w:rsidR="00CF2FF2" w:rsidRPr="008A7751">
        <w:t>),</w:t>
      </w:r>
      <w:r w:rsidR="00BA13B8" w:rsidRPr="008A7751">
        <w:t xml:space="preserve"> </w:t>
      </w:r>
      <w:r w:rsidR="009D6068" w:rsidRPr="008A7751">
        <w:t>p</w:t>
      </w:r>
      <w:r w:rsidR="00BA13B8" w:rsidRPr="008A7751">
        <w:t>p</w:t>
      </w:r>
      <w:r w:rsidR="009D6068" w:rsidRPr="008A7751">
        <w:t xml:space="preserve"> 9-10</w:t>
      </w:r>
      <w:r w:rsidR="00BA13B8" w:rsidRPr="008A7751">
        <w:t>.</w:t>
      </w:r>
    </w:p>
  </w:footnote>
  <w:footnote w:id="74">
    <w:p w14:paraId="5D034D69" w14:textId="14B62696" w:rsidR="00A24A13" w:rsidRPr="00B75EC4"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 xml:space="preserve">In its 2025 Integrity Review of Sweden, the OECD recommends </w:t>
      </w:r>
      <w:r w:rsidR="001436E4" w:rsidRPr="00B75EC4">
        <w:rPr>
          <w:lang w:val="en-IE"/>
        </w:rPr>
        <w:t xml:space="preserve">that </w:t>
      </w:r>
      <w:r w:rsidR="00F32703" w:rsidRPr="00B75EC4">
        <w:rPr>
          <w:lang w:val="en-IE"/>
        </w:rPr>
        <w:t>Sweden introduces</w:t>
      </w:r>
      <w:r w:rsidRPr="00B75EC4">
        <w:rPr>
          <w:lang w:val="en-IE"/>
        </w:rPr>
        <w:t xml:space="preserve"> a dedicated lobbying law, increase</w:t>
      </w:r>
      <w:r w:rsidR="001436E4" w:rsidRPr="00B75EC4">
        <w:rPr>
          <w:lang w:val="en-IE"/>
        </w:rPr>
        <w:t>s</w:t>
      </w:r>
      <w:r w:rsidRPr="00B75EC4">
        <w:rPr>
          <w:lang w:val="en-IE"/>
        </w:rPr>
        <w:t xml:space="preserve"> transparency of lobbying activities, establish</w:t>
      </w:r>
      <w:r w:rsidR="001436E4" w:rsidRPr="00B75EC4">
        <w:rPr>
          <w:lang w:val="en-IE"/>
        </w:rPr>
        <w:t>es</w:t>
      </w:r>
      <w:r w:rsidRPr="00B75EC4">
        <w:rPr>
          <w:lang w:val="en-IE"/>
        </w:rPr>
        <w:t xml:space="preserve"> a lobbying register and disclosure system, define</w:t>
      </w:r>
      <w:r w:rsidR="001436E4" w:rsidRPr="00B75EC4">
        <w:rPr>
          <w:lang w:val="en-IE"/>
        </w:rPr>
        <w:t>s</w:t>
      </w:r>
      <w:r w:rsidRPr="00B75EC4">
        <w:rPr>
          <w:lang w:val="en-IE"/>
        </w:rPr>
        <w:t xml:space="preserve"> lobbying in a comprehensive manner, create</w:t>
      </w:r>
      <w:r w:rsidR="001436E4" w:rsidRPr="00B75EC4">
        <w:rPr>
          <w:lang w:val="en-IE"/>
        </w:rPr>
        <w:t>s</w:t>
      </w:r>
      <w:r w:rsidRPr="00B75EC4">
        <w:rPr>
          <w:lang w:val="en-IE"/>
        </w:rPr>
        <w:t xml:space="preserve"> oversight and enforcement mechanisms and cover</w:t>
      </w:r>
      <w:r w:rsidR="001436E4" w:rsidRPr="00B75EC4">
        <w:rPr>
          <w:lang w:val="en-IE"/>
        </w:rPr>
        <w:t>s</w:t>
      </w:r>
      <w:r w:rsidRPr="00B75EC4">
        <w:rPr>
          <w:lang w:val="en-IE"/>
        </w:rPr>
        <w:t xml:space="preserve"> indirect and foreign lobbying</w:t>
      </w:r>
      <w:r w:rsidR="001436E4" w:rsidRPr="00B75EC4">
        <w:rPr>
          <w:lang w:val="en-IE"/>
        </w:rPr>
        <w:t>,</w:t>
      </w:r>
      <w:r w:rsidRPr="00B75EC4">
        <w:rPr>
          <w:lang w:val="en-IE"/>
        </w:rPr>
        <w:t xml:space="preserve"> OECD (2025), pp. 85 - 115.</w:t>
      </w:r>
    </w:p>
  </w:footnote>
  <w:footnote w:id="75">
    <w:p w14:paraId="62BD9EF1"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Once the legal opinion of the Council on Legislation is obtained, the government can revise the proposal and then submit it to the parliament for debate and adoption. The entry into force is planned for July 2027.</w:t>
      </w:r>
    </w:p>
  </w:footnote>
  <w:footnote w:id="76">
    <w:p w14:paraId="29D3F772" w14:textId="2F39568B" w:rsidR="00A24A13" w:rsidRPr="00B75EC4" w:rsidRDefault="00A24A13" w:rsidP="00A24A13">
      <w:pPr>
        <w:pStyle w:val="FootnoteText"/>
        <w:rPr>
          <w:lang w:val="en-IE"/>
        </w:rPr>
      </w:pPr>
      <w:r w:rsidRPr="00B75EC4">
        <w:rPr>
          <w:rStyle w:val="FootnoteReference"/>
        </w:rPr>
        <w:footnoteRef/>
      </w:r>
      <w:r w:rsidRPr="00B75EC4">
        <w:t xml:space="preserve"> </w:t>
      </w:r>
      <w:r w:rsidRPr="00B75EC4">
        <w:tab/>
        <w:t xml:space="preserve">Country visit Sweden, Swedish Government. The updated guidelines include a new section concerning the risks of conflicts of interest that can arise from the holding of financial instruments. Swedish Government (2026), </w:t>
      </w:r>
      <w:r w:rsidR="00CE6E4C" w:rsidRPr="00B75EC4">
        <w:t xml:space="preserve">written input, </w:t>
      </w:r>
      <w:r w:rsidRPr="00B75EC4">
        <w:t>p.6. </w:t>
      </w:r>
    </w:p>
  </w:footnote>
  <w:footnote w:id="77">
    <w:p w14:paraId="43C8A1B6" w14:textId="77777777" w:rsidR="00A24A13" w:rsidRPr="00B75EC4" w:rsidRDefault="00A24A13" w:rsidP="00A24A13">
      <w:pPr>
        <w:pStyle w:val="FootnoteText"/>
        <w:rPr>
          <w:lang w:val="en-IE"/>
        </w:rPr>
      </w:pPr>
      <w:r w:rsidRPr="00B75EC4">
        <w:rPr>
          <w:rStyle w:val="FootnoteReference"/>
          <w:lang w:val="en-IE"/>
        </w:rPr>
        <w:footnoteRef/>
      </w:r>
      <w:r w:rsidRPr="00B75EC4">
        <w:rPr>
          <w:lang w:val="en-IE"/>
        </w:rPr>
        <w:tab/>
        <w:t xml:space="preserve">Country visit Sweden, Transparency International Sweden. </w:t>
      </w:r>
    </w:p>
  </w:footnote>
  <w:footnote w:id="78">
    <w:p w14:paraId="02F0A008" w14:textId="0D15E8EA" w:rsidR="00A24A13" w:rsidRPr="00D731E3" w:rsidRDefault="00A24A13" w:rsidP="00A24A13">
      <w:pPr>
        <w:pStyle w:val="FootnoteText"/>
        <w:rPr>
          <w:lang w:val="en-IE"/>
        </w:rPr>
      </w:pPr>
      <w:r w:rsidRPr="00B75EC4">
        <w:rPr>
          <w:rStyle w:val="FootnoteReference"/>
          <w:lang w:val="en-IE"/>
        </w:rPr>
        <w:footnoteRef/>
      </w:r>
      <w:r w:rsidRPr="00B75EC4">
        <w:rPr>
          <w:lang w:val="en-IE"/>
        </w:rPr>
        <w:t xml:space="preserve"> </w:t>
      </w:r>
      <w:r w:rsidRPr="00B75EC4">
        <w:rPr>
          <w:lang w:val="en-IE"/>
        </w:rPr>
        <w:tab/>
        <w:t xml:space="preserve">The 2025 Rule of Law Report recommended </w:t>
      </w:r>
      <w:r w:rsidR="003A6F38" w:rsidRPr="00B75EC4">
        <w:rPr>
          <w:lang w:val="en-IE"/>
        </w:rPr>
        <w:t xml:space="preserve">to </w:t>
      </w:r>
      <w:r w:rsidRPr="00B75EC4">
        <w:rPr>
          <w:lang w:val="en-IE"/>
        </w:rPr>
        <w:t xml:space="preserve">Sweden to “ensure an appropriate follow-up to the evaluation of the rules on revolving doors.” No progress was assessed on this 2024 recommendation in the 2025 Rule of Law Report. The Committee of Inquiry was appointed in 2022 and </w:t>
      </w:r>
      <w:r w:rsidR="00C11544" w:rsidRPr="00B75EC4">
        <w:rPr>
          <w:lang w:val="en-IE"/>
        </w:rPr>
        <w:t xml:space="preserve">it </w:t>
      </w:r>
      <w:r w:rsidRPr="00B75EC4">
        <w:rPr>
          <w:lang w:val="en-IE"/>
        </w:rPr>
        <w:t xml:space="preserve">submitted its report in 2023. The OECD also recommends </w:t>
      </w:r>
      <w:r w:rsidR="00241891" w:rsidRPr="00B75EC4">
        <w:rPr>
          <w:lang w:val="en-IE"/>
        </w:rPr>
        <w:t xml:space="preserve">that </w:t>
      </w:r>
      <w:r w:rsidRPr="00B75EC4">
        <w:rPr>
          <w:lang w:val="en-IE"/>
        </w:rPr>
        <w:t>Sweden develop</w:t>
      </w:r>
      <w:r w:rsidR="00241891" w:rsidRPr="00B75EC4">
        <w:rPr>
          <w:lang w:val="en-IE"/>
        </w:rPr>
        <w:t>s</w:t>
      </w:r>
      <w:r w:rsidRPr="00B75EC4">
        <w:rPr>
          <w:lang w:val="en-IE"/>
        </w:rPr>
        <w:t xml:space="preserve"> revolving doors policies and post-public employment measures, such as cooling-off periods and targeted restrictions in high-risk areas (such as public procurement)</w:t>
      </w:r>
      <w:r w:rsidR="00241891" w:rsidRPr="00B75EC4">
        <w:rPr>
          <w:lang w:val="en-IE"/>
        </w:rPr>
        <w:t>,</w:t>
      </w:r>
      <w:r w:rsidRPr="00B75EC4">
        <w:rPr>
          <w:lang w:val="en-IE"/>
        </w:rPr>
        <w:t xml:space="preserve"> OECD (2025), p. 174-175.</w:t>
      </w:r>
    </w:p>
  </w:footnote>
  <w:footnote w:id="79">
    <w:p w14:paraId="64380F5F" w14:textId="77777777" w:rsidR="00A24A13" w:rsidRPr="003964DC" w:rsidRDefault="00A24A13" w:rsidP="00A24A13">
      <w:pPr>
        <w:pStyle w:val="FootnoteText"/>
        <w:rPr>
          <w:lang w:val="en-IE"/>
        </w:rPr>
      </w:pPr>
      <w:r w:rsidRPr="003964DC">
        <w:rPr>
          <w:rStyle w:val="FootnoteReference"/>
          <w:lang w:val="en-IE"/>
        </w:rPr>
        <w:footnoteRef/>
      </w:r>
      <w:r w:rsidRPr="003964DC">
        <w:rPr>
          <w:lang w:val="en-IE"/>
        </w:rPr>
        <w:t xml:space="preserve"> </w:t>
      </w:r>
      <w:r w:rsidRPr="003964DC">
        <w:rPr>
          <w:lang w:val="en-IE"/>
        </w:rPr>
        <w:tab/>
      </w:r>
      <w:bookmarkStart w:id="13" w:name="_Hlk229144079"/>
      <w:r w:rsidRPr="003964DC">
        <w:rPr>
          <w:lang w:val="en-IE"/>
        </w:rPr>
        <w:t>Swedish Government (2023), ‘Transitional restrictions – increasing trust in public services. Report on the Inquiry into Transitional restrictions in Public Activities’</w:t>
      </w:r>
      <w:bookmarkEnd w:id="13"/>
      <w:r w:rsidRPr="003964DC">
        <w:rPr>
          <w:lang w:val="en-IE"/>
        </w:rPr>
        <w:t>, pp. 15 – 236.</w:t>
      </w:r>
    </w:p>
  </w:footnote>
  <w:footnote w:id="80">
    <w:p w14:paraId="4DFE9D36" w14:textId="5B1D8728" w:rsidR="000F4243" w:rsidRPr="00F32703" w:rsidRDefault="000F4243">
      <w:pPr>
        <w:pStyle w:val="FootnoteText"/>
        <w:rPr>
          <w:lang w:val="en-IE"/>
        </w:rPr>
      </w:pPr>
      <w:r w:rsidRPr="002508E7">
        <w:rPr>
          <w:rStyle w:val="FootnoteReference"/>
        </w:rPr>
        <w:footnoteRef/>
      </w:r>
      <w:r w:rsidRPr="002508E7">
        <w:tab/>
      </w:r>
      <w:r w:rsidR="002E3235" w:rsidRPr="002508E7">
        <w:t>Swedish Government</w:t>
      </w:r>
      <w:r w:rsidR="008A7751" w:rsidRPr="002508E7">
        <w:t xml:space="preserve"> (2026</w:t>
      </w:r>
      <w:r w:rsidR="008E170C">
        <w:t>c</w:t>
      </w:r>
      <w:r w:rsidR="008A7751" w:rsidRPr="002508E7">
        <w:t>)</w:t>
      </w:r>
      <w:r w:rsidR="002E3235" w:rsidRPr="002508E7">
        <w:t>, p. 8.</w:t>
      </w:r>
      <w:r w:rsidR="002E3235">
        <w:t xml:space="preserve"> </w:t>
      </w:r>
    </w:p>
  </w:footnote>
  <w:footnote w:id="81">
    <w:p w14:paraId="55B29FC1" w14:textId="3E73C6A2" w:rsidR="00A24A13" w:rsidRPr="00D731E3" w:rsidRDefault="00A24A13" w:rsidP="00A24A13">
      <w:pPr>
        <w:pStyle w:val="FootnoteText"/>
        <w:rPr>
          <w:lang w:val="en-IE"/>
        </w:rPr>
      </w:pPr>
      <w:r w:rsidRPr="003964DC">
        <w:rPr>
          <w:rStyle w:val="FootnoteReference"/>
          <w:lang w:val="en-IE"/>
        </w:rPr>
        <w:footnoteRef/>
      </w:r>
      <w:r w:rsidRPr="003964DC">
        <w:rPr>
          <w:lang w:val="en-IE"/>
        </w:rPr>
        <w:t xml:space="preserve"> </w:t>
      </w:r>
      <w:r w:rsidRPr="00D731E3">
        <w:rPr>
          <w:lang w:val="en-IE"/>
        </w:rPr>
        <w:tab/>
        <w:t>Country visit Sweden, Transparency I</w:t>
      </w:r>
      <w:r>
        <w:rPr>
          <w:lang w:val="en-IE"/>
        </w:rPr>
        <w:t>nternational</w:t>
      </w:r>
      <w:r w:rsidR="00A67B41">
        <w:rPr>
          <w:lang w:val="en-IE"/>
        </w:rPr>
        <w:t xml:space="preserve"> Sweden</w:t>
      </w:r>
      <w:r>
        <w:rPr>
          <w:lang w:val="en-IE"/>
        </w:rPr>
        <w:t>, and Liberties (2026), Rule of Law Report p. 832.</w:t>
      </w:r>
    </w:p>
  </w:footnote>
  <w:footnote w:id="82">
    <w:p w14:paraId="7A3FFC24" w14:textId="1F793821" w:rsidR="00A24A13" w:rsidRPr="008E7837" w:rsidRDefault="00A24A13" w:rsidP="00A24A13">
      <w:pPr>
        <w:pStyle w:val="FootnoteText"/>
        <w:rPr>
          <w:lang w:val="en-IE"/>
        </w:rPr>
      </w:pPr>
      <w:r w:rsidRPr="003964DC">
        <w:rPr>
          <w:rStyle w:val="FootnoteReference"/>
          <w:lang w:val="en-IE"/>
        </w:rPr>
        <w:footnoteRef/>
      </w:r>
      <w:r w:rsidRPr="003964DC">
        <w:rPr>
          <w:lang w:val="en-IE"/>
        </w:rPr>
        <w:t xml:space="preserve"> </w:t>
      </w:r>
      <w:r w:rsidRPr="008E7837">
        <w:rPr>
          <w:lang w:val="en-IE"/>
        </w:rPr>
        <w:tab/>
        <w:t xml:space="preserve">See footnote </w:t>
      </w:r>
      <w:r>
        <w:rPr>
          <w:lang w:val="en-IE"/>
        </w:rPr>
        <w:t>7</w:t>
      </w:r>
      <w:r w:rsidR="000363E3">
        <w:rPr>
          <w:lang w:val="en-IE"/>
        </w:rPr>
        <w:t>3</w:t>
      </w:r>
      <w:r w:rsidR="0084447A">
        <w:rPr>
          <w:lang w:val="en-IE"/>
        </w:rPr>
        <w:t>, p.</w:t>
      </w:r>
      <w:r w:rsidR="000363E3">
        <w:rPr>
          <w:lang w:val="en-IE"/>
        </w:rPr>
        <w:t>10</w:t>
      </w:r>
      <w:r w:rsidRPr="008E7837">
        <w:rPr>
          <w:lang w:val="en-IE"/>
        </w:rPr>
        <w:t>.</w:t>
      </w:r>
    </w:p>
  </w:footnote>
  <w:footnote w:id="83">
    <w:p w14:paraId="03B8E36C" w14:textId="77777777" w:rsidR="00A24A13" w:rsidRPr="003964DC" w:rsidRDefault="00A24A13" w:rsidP="00A24A13">
      <w:pPr>
        <w:pStyle w:val="FootnoteText"/>
        <w:rPr>
          <w:lang w:val="en-IE"/>
        </w:rPr>
      </w:pPr>
      <w:r w:rsidRPr="003964DC">
        <w:rPr>
          <w:rStyle w:val="FootnoteReference"/>
          <w:lang w:val="en-IE"/>
        </w:rPr>
        <w:footnoteRef/>
      </w:r>
      <w:r w:rsidRPr="003964DC">
        <w:rPr>
          <w:lang w:val="en-IE"/>
        </w:rPr>
        <w:tab/>
        <w:t>Amending Act (2018:90) on transparency of party funding.</w:t>
      </w:r>
    </w:p>
  </w:footnote>
  <w:footnote w:id="84">
    <w:p w14:paraId="66F960E7" w14:textId="3C67ECBF" w:rsidR="00A24A13" w:rsidRPr="00ED2DCA" w:rsidRDefault="00A24A13" w:rsidP="00A24A13">
      <w:pPr>
        <w:pStyle w:val="FootnoteText"/>
        <w:rPr>
          <w:lang w:val="en-IE"/>
        </w:rPr>
      </w:pPr>
      <w:r w:rsidRPr="003964DC">
        <w:rPr>
          <w:rStyle w:val="FootnoteReference"/>
          <w:lang w:val="en-IE"/>
        </w:rPr>
        <w:footnoteRef/>
      </w:r>
      <w:r w:rsidRPr="003964DC">
        <w:rPr>
          <w:lang w:val="en-IE"/>
        </w:rPr>
        <w:tab/>
        <w:t xml:space="preserve">Country visit Sweden, Transparency International Sweden. See also Transparency International Sweden, Referral of the report “Greater Transparency in Political Processes” (SOU 2025:52) (Ref. No. </w:t>
      </w:r>
      <w:r w:rsidRPr="00ED2DCA">
        <w:rPr>
          <w:lang w:val="en-IE"/>
        </w:rPr>
        <w:t>Ju2025/01117)</w:t>
      </w:r>
      <w:r w:rsidR="00040A19">
        <w:rPr>
          <w:lang w:val="en-IE"/>
        </w:rPr>
        <w:t>.</w:t>
      </w:r>
    </w:p>
  </w:footnote>
  <w:footnote w:id="85">
    <w:p w14:paraId="08076061" w14:textId="77777777" w:rsidR="00A24A13" w:rsidRPr="00510C92" w:rsidRDefault="00A24A13" w:rsidP="00A24A13">
      <w:pPr>
        <w:pStyle w:val="FootnoteText"/>
        <w:rPr>
          <w:lang w:val="en-IE"/>
        </w:rPr>
      </w:pPr>
      <w:r>
        <w:rPr>
          <w:rStyle w:val="FootnoteReference"/>
        </w:rPr>
        <w:footnoteRef/>
      </w:r>
      <w:r>
        <w:t xml:space="preserve"> </w:t>
      </w:r>
      <w:r w:rsidRPr="00510C92">
        <w:rPr>
          <w:lang w:val="en-IE"/>
        </w:rPr>
        <w:tab/>
        <w:t xml:space="preserve">Commission </w:t>
      </w:r>
      <w:r w:rsidRPr="00F46F3A">
        <w:rPr>
          <w:lang w:val="en-IE"/>
        </w:rPr>
        <w:t>Recommendation</w:t>
      </w:r>
      <w:r w:rsidRPr="00510C92">
        <w:rPr>
          <w:lang w:val="en-IE"/>
        </w:rPr>
        <w:t xml:space="preserve"> (EU) 2023/2829 of 12 December 2023 on i</w:t>
      </w:r>
      <w:r>
        <w:rPr>
          <w:lang w:val="en-IE"/>
        </w:rPr>
        <w:t xml:space="preserve">nclusive and resilient electoral processes in the Union and enhancing the European nature and efficient conduct of elections to the European Parliament. </w:t>
      </w:r>
    </w:p>
  </w:footnote>
  <w:footnote w:id="86">
    <w:p w14:paraId="1E091047" w14:textId="79F241BC" w:rsidR="00A24A13" w:rsidRPr="003964DC" w:rsidRDefault="00A24A13" w:rsidP="00A24A13">
      <w:pPr>
        <w:pStyle w:val="FootnoteText"/>
        <w:rPr>
          <w:lang w:val="en-IE"/>
        </w:rPr>
      </w:pPr>
      <w:r w:rsidRPr="003964DC">
        <w:rPr>
          <w:rStyle w:val="FootnoteReference"/>
          <w:lang w:val="en-IE"/>
        </w:rPr>
        <w:footnoteRef/>
      </w:r>
      <w:r w:rsidRPr="003964DC">
        <w:rPr>
          <w:lang w:val="en-IE"/>
        </w:rPr>
        <w:tab/>
        <w:t>Sweden remains one of few countries without restrictions of foreign donations to political parties and candidates</w:t>
      </w:r>
      <w:r w:rsidR="00E878FA">
        <w:rPr>
          <w:lang w:val="en-IE"/>
        </w:rPr>
        <w:t>,</w:t>
      </w:r>
      <w:r w:rsidRPr="003964DC">
        <w:rPr>
          <w:lang w:val="en-IE"/>
        </w:rPr>
        <w:t xml:space="preserve"> OECD</w:t>
      </w:r>
      <w:r>
        <w:rPr>
          <w:lang w:val="en-IE"/>
        </w:rPr>
        <w:t xml:space="preserve"> (2025),</w:t>
      </w:r>
      <w:r w:rsidRPr="003964DC">
        <w:rPr>
          <w:lang w:val="en-IE"/>
        </w:rPr>
        <w:t xml:space="preserve"> p. 106.</w:t>
      </w:r>
    </w:p>
  </w:footnote>
  <w:footnote w:id="87">
    <w:p w14:paraId="5CC23F9E" w14:textId="77777777" w:rsidR="00A24A13" w:rsidRPr="003964DC" w:rsidRDefault="00A24A13" w:rsidP="00A24A13">
      <w:pPr>
        <w:pStyle w:val="FootnoteText"/>
        <w:rPr>
          <w:lang w:val="en-IE"/>
        </w:rPr>
      </w:pPr>
      <w:r w:rsidRPr="003964DC">
        <w:rPr>
          <w:rStyle w:val="FootnoteReference"/>
          <w:lang w:val="en-IE"/>
        </w:rPr>
        <w:footnoteRef/>
      </w:r>
      <w:r w:rsidRPr="003964DC">
        <w:rPr>
          <w:lang w:val="en-IE"/>
        </w:rPr>
        <w:tab/>
        <w:t>Legal, Financial and Administrative Services Agency (2026), Annual Report 2025</w:t>
      </w:r>
      <w:r>
        <w:rPr>
          <w:lang w:val="en-IE"/>
        </w:rPr>
        <w:t>, p. 83</w:t>
      </w:r>
      <w:r w:rsidRPr="003964DC">
        <w:rPr>
          <w:lang w:val="en-IE"/>
        </w:rPr>
        <w:t>.</w:t>
      </w:r>
    </w:p>
  </w:footnote>
  <w:footnote w:id="88">
    <w:p w14:paraId="230F89B6" w14:textId="4CD5CB31" w:rsidR="00A24A13" w:rsidRPr="00510C92" w:rsidRDefault="00A24A13" w:rsidP="00A24A13">
      <w:pPr>
        <w:pStyle w:val="FootnoteText"/>
        <w:rPr>
          <w:lang w:val="en-IE"/>
        </w:rPr>
      </w:pPr>
      <w:r>
        <w:rPr>
          <w:rStyle w:val="FootnoteReference"/>
        </w:rPr>
        <w:footnoteRef/>
      </w:r>
      <w:r>
        <w:t xml:space="preserve"> </w:t>
      </w:r>
      <w:r w:rsidRPr="00510C92">
        <w:rPr>
          <w:lang w:val="en-IE"/>
        </w:rPr>
        <w:tab/>
      </w:r>
      <w:r w:rsidRPr="002527A0">
        <w:t xml:space="preserve">Act </w:t>
      </w:r>
      <w:r w:rsidR="006B19B6">
        <w:t>(</w:t>
      </w:r>
      <w:r w:rsidRPr="002527A0">
        <w:t>2021:890</w:t>
      </w:r>
      <w:r w:rsidR="006B19B6">
        <w:t>)</w:t>
      </w:r>
      <w:r w:rsidR="000E41B5">
        <w:t xml:space="preserve"> </w:t>
      </w:r>
      <w:r w:rsidR="000E41B5" w:rsidRPr="002527A0">
        <w:t xml:space="preserve">on </w:t>
      </w:r>
      <w:r w:rsidR="000E41B5">
        <w:t>p</w:t>
      </w:r>
      <w:r w:rsidR="000E41B5" w:rsidRPr="002527A0">
        <w:t xml:space="preserve">rotection of </w:t>
      </w:r>
      <w:r w:rsidR="000E41B5">
        <w:t>p</w:t>
      </w:r>
      <w:r w:rsidR="000E41B5" w:rsidRPr="002527A0">
        <w:t xml:space="preserve">ersons who </w:t>
      </w:r>
      <w:r w:rsidR="000E41B5">
        <w:t>r</w:t>
      </w:r>
      <w:r w:rsidR="000E41B5" w:rsidRPr="002527A0">
        <w:t xml:space="preserve">eport </w:t>
      </w:r>
      <w:r w:rsidR="000E41B5">
        <w:t>w</w:t>
      </w:r>
      <w:r w:rsidR="000E41B5" w:rsidRPr="002527A0">
        <w:t>rongdoings</w:t>
      </w:r>
      <w:r w:rsidRPr="002527A0">
        <w:t>.</w:t>
      </w:r>
    </w:p>
  </w:footnote>
  <w:footnote w:id="89">
    <w:p w14:paraId="2622C184" w14:textId="126AFF02" w:rsidR="00A24A13" w:rsidRPr="00F77ED0" w:rsidRDefault="00A24A13" w:rsidP="00A24A13">
      <w:pPr>
        <w:pStyle w:val="FootnoteText"/>
        <w:rPr>
          <w:lang w:val="en-IE"/>
        </w:rPr>
      </w:pPr>
      <w:r w:rsidRPr="003964DC">
        <w:rPr>
          <w:rStyle w:val="FootnoteReference"/>
          <w:lang w:val="en-IE"/>
        </w:rPr>
        <w:footnoteRef/>
      </w:r>
      <w:r w:rsidRPr="003964DC">
        <w:rPr>
          <w:lang w:val="en-IE"/>
        </w:rPr>
        <w:tab/>
        <w:t xml:space="preserve">Swedish Government (2026), written </w:t>
      </w:r>
      <w:r w:rsidR="00DF1330">
        <w:rPr>
          <w:lang w:val="en-IE"/>
        </w:rPr>
        <w:t>input</w:t>
      </w:r>
      <w:r w:rsidRPr="003964DC">
        <w:rPr>
          <w:lang w:val="en-IE"/>
        </w:rPr>
        <w:t>, Annex 2.</w:t>
      </w:r>
    </w:p>
  </w:footnote>
  <w:footnote w:id="90">
    <w:p w14:paraId="1E66B9D9" w14:textId="77777777" w:rsidR="00A24A13" w:rsidRPr="003C1DA0" w:rsidRDefault="00A24A13" w:rsidP="00A24A13">
      <w:pPr>
        <w:pStyle w:val="FootnoteText"/>
      </w:pPr>
      <w:r w:rsidRPr="003C1DA0">
        <w:rPr>
          <w:rStyle w:val="FootnoteReference"/>
        </w:rPr>
        <w:footnoteRef/>
      </w:r>
      <w:r w:rsidRPr="003C1DA0">
        <w:t xml:space="preserve"> </w:t>
      </w:r>
      <w:r w:rsidRPr="003C1DA0">
        <w:tab/>
        <w:t>The reports were received from a wide range of sectors: most of them (74) concerned protection of privacy and personal data, and public procurement (19). There is no data disaggregation on reports concerning corruption.</w:t>
      </w:r>
    </w:p>
  </w:footnote>
  <w:footnote w:id="91">
    <w:p w14:paraId="65F48BF4" w14:textId="535B740E" w:rsidR="00A24A13" w:rsidRPr="003C1DA0" w:rsidRDefault="00A24A13" w:rsidP="00A24A13">
      <w:pPr>
        <w:pStyle w:val="FootnoteText"/>
      </w:pPr>
      <w:r w:rsidRPr="003C1DA0">
        <w:rPr>
          <w:rStyle w:val="FootnoteReference"/>
        </w:rPr>
        <w:footnoteRef/>
      </w:r>
      <w:r w:rsidRPr="003C1DA0">
        <w:t xml:space="preserve"> </w:t>
      </w:r>
      <w:r w:rsidRPr="003C1DA0">
        <w:tab/>
        <w:t>The inspections</w:t>
      </w:r>
      <w:r w:rsidR="00E65F79" w:rsidRPr="003C1DA0">
        <w:t>,</w:t>
      </w:r>
      <w:r w:rsidRPr="003C1DA0">
        <w:t xml:space="preserve"> carried out in November 2025 and March 2026</w:t>
      </w:r>
      <w:r w:rsidR="00E65F79" w:rsidRPr="003C1DA0">
        <w:t>,</w:t>
      </w:r>
      <w:r w:rsidRPr="003C1DA0">
        <w:t xml:space="preserve"> looked into</w:t>
      </w:r>
      <w:r w:rsidRPr="003C1DA0">
        <w:rPr>
          <w:lang w:val="en-IE"/>
        </w:rPr>
        <w:t xml:space="preserve"> 72 workplaces</w:t>
      </w:r>
      <w:r w:rsidR="00C61F17" w:rsidRPr="003C1DA0">
        <w:rPr>
          <w:lang w:val="en-IE"/>
        </w:rPr>
        <w:t>.</w:t>
      </w:r>
      <w:r w:rsidRPr="003C1DA0">
        <w:rPr>
          <w:lang w:val="en-IE"/>
        </w:rPr>
        <w:t xml:space="preserve"> 80 % of the inspected workplaces were asked to address the identified issues</w:t>
      </w:r>
      <w:r w:rsidRPr="00F32703">
        <w:rPr>
          <w:lang w:val="en-IE"/>
        </w:rPr>
        <w:t xml:space="preserve">. </w:t>
      </w:r>
      <w:r w:rsidRPr="003C1DA0">
        <w:t>Swedish Government (2026b)</w:t>
      </w:r>
      <w:r w:rsidR="00C61F17" w:rsidRPr="003C1DA0">
        <w:t xml:space="preserve">, written input, p. </w:t>
      </w:r>
      <w:r w:rsidR="002526D4" w:rsidRPr="00F32703">
        <w:t>1.</w:t>
      </w:r>
    </w:p>
  </w:footnote>
  <w:footnote w:id="92">
    <w:p w14:paraId="71A9EC79" w14:textId="3F0BBC46" w:rsidR="00A24A13" w:rsidRPr="003C1DA0" w:rsidRDefault="00A24A13" w:rsidP="00A24A13">
      <w:pPr>
        <w:pStyle w:val="FootnoteText"/>
      </w:pPr>
      <w:r w:rsidRPr="003C1DA0">
        <w:rPr>
          <w:rStyle w:val="FootnoteReference"/>
        </w:rPr>
        <w:footnoteRef/>
      </w:r>
      <w:r w:rsidRPr="003C1DA0">
        <w:t xml:space="preserve"> </w:t>
      </w:r>
      <w:r w:rsidRPr="003C1DA0">
        <w:tab/>
        <w:t>Swedish Government (2026b)</w:t>
      </w:r>
      <w:r w:rsidR="00A4488D" w:rsidRPr="00F32703">
        <w:t>,</w:t>
      </w:r>
      <w:r w:rsidR="00DE3352" w:rsidRPr="003C1DA0">
        <w:t xml:space="preserve"> p.</w:t>
      </w:r>
      <w:r w:rsidR="00A4488D" w:rsidRPr="003C1DA0">
        <w:t>1</w:t>
      </w:r>
      <w:r w:rsidRPr="003C1DA0">
        <w:t xml:space="preserve">, Work Environment Agency (2025), </w:t>
      </w:r>
      <w:r w:rsidR="000556F5" w:rsidRPr="003C1DA0">
        <w:t xml:space="preserve">Whistleblowing inspection. </w:t>
      </w:r>
    </w:p>
  </w:footnote>
  <w:footnote w:id="93">
    <w:p w14:paraId="1EE1E02F" w14:textId="25F75F05" w:rsidR="00A24A13" w:rsidRPr="003C1DA0" w:rsidRDefault="00A24A13" w:rsidP="00A24A13">
      <w:pPr>
        <w:pStyle w:val="FootnoteText"/>
        <w:rPr>
          <w:lang w:val="en-IE"/>
        </w:rPr>
      </w:pPr>
      <w:r w:rsidRPr="003C1DA0">
        <w:rPr>
          <w:rStyle w:val="FootnoteReference"/>
        </w:rPr>
        <w:footnoteRef/>
      </w:r>
      <w:r w:rsidRPr="003C1DA0">
        <w:rPr>
          <w:lang w:val="en-IE"/>
        </w:rPr>
        <w:t xml:space="preserve"> </w:t>
      </w:r>
      <w:r w:rsidRPr="003C1DA0">
        <w:rPr>
          <w:lang w:val="en-IE"/>
        </w:rPr>
        <w:tab/>
        <w:t xml:space="preserve">Publikt (2026), Major </w:t>
      </w:r>
      <w:r w:rsidR="004A2072" w:rsidRPr="003C1DA0">
        <w:rPr>
          <w:lang w:val="en-IE"/>
        </w:rPr>
        <w:t>d</w:t>
      </w:r>
      <w:r w:rsidRPr="003C1DA0">
        <w:rPr>
          <w:lang w:val="en-IE"/>
        </w:rPr>
        <w:t xml:space="preserve">ifferences in </w:t>
      </w:r>
      <w:r w:rsidR="004A2072" w:rsidRPr="003C1DA0">
        <w:rPr>
          <w:lang w:val="en-IE"/>
        </w:rPr>
        <w:t>h</w:t>
      </w:r>
      <w:r w:rsidRPr="003C1DA0">
        <w:rPr>
          <w:lang w:val="en-IE"/>
        </w:rPr>
        <w:t xml:space="preserve">ow </w:t>
      </w:r>
      <w:r w:rsidR="004A2072" w:rsidRPr="003C1DA0">
        <w:rPr>
          <w:lang w:val="en-IE"/>
        </w:rPr>
        <w:t>w</w:t>
      </w:r>
      <w:r w:rsidRPr="003C1DA0">
        <w:rPr>
          <w:lang w:val="en-IE"/>
        </w:rPr>
        <w:t xml:space="preserve">histleblowers </w:t>
      </w:r>
      <w:r w:rsidR="004A2072" w:rsidRPr="003C1DA0">
        <w:rPr>
          <w:lang w:val="en-IE"/>
        </w:rPr>
        <w:t>a</w:t>
      </w:r>
      <w:r w:rsidRPr="003C1DA0">
        <w:rPr>
          <w:lang w:val="en-IE"/>
        </w:rPr>
        <w:t xml:space="preserve">re </w:t>
      </w:r>
      <w:r w:rsidR="004A2072" w:rsidRPr="003C1DA0">
        <w:rPr>
          <w:lang w:val="en-IE"/>
        </w:rPr>
        <w:t>h</w:t>
      </w:r>
      <w:r w:rsidRPr="003C1DA0">
        <w:rPr>
          <w:lang w:val="en-IE"/>
        </w:rPr>
        <w:t xml:space="preserve">andled. </w:t>
      </w:r>
    </w:p>
  </w:footnote>
  <w:footnote w:id="94">
    <w:p w14:paraId="5A623939" w14:textId="0A6A2B0E" w:rsidR="00A24A13" w:rsidRPr="00A12C36" w:rsidRDefault="00A24A13" w:rsidP="00A24A13">
      <w:pPr>
        <w:pStyle w:val="FootnoteText"/>
        <w:rPr>
          <w:lang w:val="en-IE"/>
        </w:rPr>
      </w:pPr>
      <w:r w:rsidRPr="003C1DA0">
        <w:rPr>
          <w:rStyle w:val="FootnoteReference"/>
        </w:rPr>
        <w:footnoteRef/>
      </w:r>
      <w:r w:rsidRPr="003C1DA0">
        <w:t xml:space="preserve"> </w:t>
      </w:r>
      <w:r w:rsidR="004A2072" w:rsidRPr="003C1DA0">
        <w:tab/>
      </w:r>
      <w:r w:rsidRPr="003C1DA0">
        <w:t>Swedish Government (2026b)</w:t>
      </w:r>
      <w:r w:rsidR="004A2072" w:rsidRPr="003C1DA0">
        <w:t>, p.</w:t>
      </w:r>
      <w:r w:rsidR="00F32703">
        <w:t>1</w:t>
      </w:r>
      <w:r w:rsidRPr="003C1DA0">
        <w:t>.</w:t>
      </w:r>
    </w:p>
  </w:footnote>
  <w:footnote w:id="95">
    <w:p w14:paraId="053A2ADC" w14:textId="2EEAEB03" w:rsidR="00A24A13" w:rsidRPr="00A41C92" w:rsidRDefault="00A24A13" w:rsidP="00A24A13">
      <w:pPr>
        <w:pStyle w:val="FootnoteText"/>
      </w:pPr>
      <w:r>
        <w:rPr>
          <w:rStyle w:val="FootnoteReference"/>
        </w:rPr>
        <w:footnoteRef/>
      </w:r>
      <w:r>
        <w:t xml:space="preserve"> </w:t>
      </w:r>
      <w:r>
        <w:tab/>
      </w:r>
      <w:r w:rsidRPr="00562CE9">
        <w:t>Figure</w:t>
      </w:r>
      <w:r>
        <w:t xml:space="preserve"> 59, 2026 EU Justice Scoreboard</w:t>
      </w:r>
      <w:r w:rsidRPr="00562CE9">
        <w:t xml:space="preserve">. </w:t>
      </w:r>
    </w:p>
  </w:footnote>
  <w:footnote w:id="96">
    <w:p w14:paraId="238AE3A9" w14:textId="43923FC1" w:rsidR="00A24A13" w:rsidRPr="008A36D3" w:rsidRDefault="00A24A13" w:rsidP="00A24A13">
      <w:pPr>
        <w:pStyle w:val="FootnoteText"/>
        <w:rPr>
          <w:lang w:val="en-IE"/>
        </w:rPr>
      </w:pPr>
      <w:r w:rsidRPr="003964DC">
        <w:rPr>
          <w:rStyle w:val="FootnoteReference"/>
          <w:lang w:val="en-IE"/>
        </w:rPr>
        <w:footnoteRef/>
      </w:r>
      <w:r w:rsidRPr="003964DC">
        <w:rPr>
          <w:lang w:val="en-IE"/>
        </w:rPr>
        <w:tab/>
        <w:t xml:space="preserve">These </w:t>
      </w:r>
      <w:r>
        <w:rPr>
          <w:lang w:val="en-IE"/>
        </w:rPr>
        <w:t xml:space="preserve">risks </w:t>
      </w:r>
      <w:r w:rsidRPr="003964DC">
        <w:rPr>
          <w:lang w:val="en-IE"/>
        </w:rPr>
        <w:t>include</w:t>
      </w:r>
      <w:r w:rsidR="005D3FB4">
        <w:rPr>
          <w:lang w:val="en-IE"/>
        </w:rPr>
        <w:t>,</w:t>
      </w:r>
      <w:r w:rsidRPr="003964DC">
        <w:rPr>
          <w:lang w:val="en-IE"/>
        </w:rPr>
        <w:t xml:space="preserve"> notably</w:t>
      </w:r>
      <w:r w:rsidR="005D3FB4">
        <w:rPr>
          <w:lang w:val="en-IE"/>
        </w:rPr>
        <w:t>,</w:t>
      </w:r>
      <w:r w:rsidRPr="003964DC">
        <w:rPr>
          <w:lang w:val="en-IE"/>
        </w:rPr>
        <w:t xml:space="preserve"> organised crime </w:t>
      </w:r>
      <w:r>
        <w:rPr>
          <w:lang w:val="en-IE"/>
        </w:rPr>
        <w:t>infiltrating</w:t>
      </w:r>
      <w:r w:rsidRPr="003964DC">
        <w:rPr>
          <w:lang w:val="en-IE"/>
        </w:rPr>
        <w:t xml:space="preserve"> procurement, differing practices </w:t>
      </w:r>
      <w:r>
        <w:rPr>
          <w:lang w:val="en-IE"/>
        </w:rPr>
        <w:t xml:space="preserve">due to </w:t>
      </w:r>
      <w:r w:rsidRPr="003964DC">
        <w:rPr>
          <w:lang w:val="en-IE"/>
        </w:rPr>
        <w:t xml:space="preserve">decentralisation, </w:t>
      </w:r>
      <w:r>
        <w:rPr>
          <w:lang w:val="en-IE"/>
        </w:rPr>
        <w:t xml:space="preserve">and </w:t>
      </w:r>
      <w:r w:rsidRPr="003964DC">
        <w:rPr>
          <w:lang w:val="en-IE"/>
        </w:rPr>
        <w:t>legal gaps, such as a</w:t>
      </w:r>
      <w:r w:rsidR="00F32703">
        <w:rPr>
          <w:lang w:val="en-IE"/>
        </w:rPr>
        <w:t>n</w:t>
      </w:r>
      <w:r w:rsidRPr="003964DC">
        <w:rPr>
          <w:lang w:val="en-IE"/>
        </w:rPr>
        <w:t xml:space="preserve"> </w:t>
      </w:r>
      <w:r>
        <w:rPr>
          <w:lang w:val="en-IE"/>
        </w:rPr>
        <w:t>un</w:t>
      </w:r>
      <w:r w:rsidRPr="003964DC">
        <w:rPr>
          <w:lang w:val="en-IE"/>
        </w:rPr>
        <w:t>clear conflict</w:t>
      </w:r>
      <w:r>
        <w:rPr>
          <w:lang w:val="en-IE"/>
        </w:rPr>
        <w:t>-</w:t>
      </w:r>
      <w:r w:rsidRPr="003964DC">
        <w:rPr>
          <w:lang w:val="en-IE"/>
        </w:rPr>
        <w:t>of</w:t>
      </w:r>
      <w:r>
        <w:rPr>
          <w:lang w:val="en-IE"/>
        </w:rPr>
        <w:t>-</w:t>
      </w:r>
      <w:r w:rsidRPr="003964DC">
        <w:rPr>
          <w:lang w:val="en-IE"/>
        </w:rPr>
        <w:t xml:space="preserve">interest </w:t>
      </w:r>
      <w:r>
        <w:rPr>
          <w:lang w:val="en-IE"/>
        </w:rPr>
        <w:t>definitions</w:t>
      </w:r>
      <w:r w:rsidRPr="003964DC">
        <w:rPr>
          <w:lang w:val="en-IE"/>
        </w:rPr>
        <w:t xml:space="preserve">, </w:t>
      </w:r>
      <w:r>
        <w:rPr>
          <w:lang w:val="en-IE"/>
        </w:rPr>
        <w:t>weak r</w:t>
      </w:r>
      <w:r w:rsidRPr="003964DC">
        <w:rPr>
          <w:lang w:val="en-IE"/>
        </w:rPr>
        <w:t xml:space="preserve">evolving doors </w:t>
      </w:r>
      <w:r>
        <w:rPr>
          <w:lang w:val="en-IE"/>
        </w:rPr>
        <w:t xml:space="preserve">restrictions </w:t>
      </w:r>
      <w:r w:rsidRPr="003964DC">
        <w:rPr>
          <w:lang w:val="en-IE"/>
        </w:rPr>
        <w:t xml:space="preserve">and limited </w:t>
      </w:r>
      <w:r>
        <w:rPr>
          <w:lang w:val="en-IE"/>
        </w:rPr>
        <w:t>enforcement against</w:t>
      </w:r>
      <w:r w:rsidRPr="003964DC">
        <w:rPr>
          <w:lang w:val="en-IE"/>
        </w:rPr>
        <w:t xml:space="preserve"> favo</w:t>
      </w:r>
      <w:r>
        <w:rPr>
          <w:lang w:val="en-IE"/>
        </w:rPr>
        <w:t>u</w:t>
      </w:r>
      <w:r w:rsidRPr="003964DC">
        <w:rPr>
          <w:lang w:val="en-IE"/>
        </w:rPr>
        <w:t>ritism</w:t>
      </w:r>
      <w:r w:rsidR="008C5A91">
        <w:rPr>
          <w:lang w:val="en-IE"/>
        </w:rPr>
        <w:t>,</w:t>
      </w:r>
      <w:r w:rsidRPr="003964DC">
        <w:rPr>
          <w:lang w:val="en-IE"/>
        </w:rPr>
        <w:t xml:space="preserve"> </w:t>
      </w:r>
      <w:r w:rsidR="008C5A91">
        <w:rPr>
          <w:lang w:val="en-IE"/>
        </w:rPr>
        <w:t>s</w:t>
      </w:r>
      <w:r w:rsidRPr="003964DC">
        <w:rPr>
          <w:lang w:val="en-IE"/>
        </w:rPr>
        <w:t xml:space="preserve">ee also OECD </w:t>
      </w:r>
      <w:r>
        <w:rPr>
          <w:lang w:val="en-IE"/>
        </w:rPr>
        <w:t>(2025)</w:t>
      </w:r>
      <w:r w:rsidRPr="003964DC">
        <w:rPr>
          <w:lang w:val="en-IE"/>
        </w:rPr>
        <w:t>, pp. 168 – 188.</w:t>
      </w:r>
    </w:p>
  </w:footnote>
  <w:footnote w:id="97">
    <w:p w14:paraId="224C848B" w14:textId="77777777" w:rsidR="00A24A13" w:rsidRPr="003964DC" w:rsidRDefault="00A24A13" w:rsidP="00A24A13">
      <w:pPr>
        <w:pStyle w:val="FootnoteText"/>
        <w:rPr>
          <w:lang w:val="en-IE"/>
        </w:rPr>
      </w:pPr>
      <w:r w:rsidRPr="003964DC">
        <w:rPr>
          <w:rStyle w:val="FootnoteReference"/>
          <w:lang w:val="en-IE"/>
        </w:rPr>
        <w:footnoteRef/>
      </w:r>
      <w:r w:rsidRPr="003964DC">
        <w:rPr>
          <w:lang w:val="en-IE"/>
        </w:rPr>
        <w:tab/>
        <w:t xml:space="preserve">During the country visit, the Confederation of Swedish Industries reported that public procurement spending amounts to 18% of GDP in Sweden, with the EU average being around 13%. </w:t>
      </w:r>
    </w:p>
  </w:footnote>
  <w:footnote w:id="98">
    <w:p w14:paraId="6C857A2C" w14:textId="77777777" w:rsidR="00A24A13" w:rsidRPr="00510C92" w:rsidRDefault="00A24A13" w:rsidP="00A24A13">
      <w:pPr>
        <w:pStyle w:val="FootnoteText"/>
        <w:rPr>
          <w:lang w:val="en-IE"/>
        </w:rPr>
      </w:pPr>
      <w:r>
        <w:rPr>
          <w:rStyle w:val="FootnoteReference"/>
        </w:rPr>
        <w:footnoteRef/>
      </w:r>
      <w:r>
        <w:t xml:space="preserve"> </w:t>
      </w:r>
      <w:r w:rsidRPr="00510C92">
        <w:rPr>
          <w:lang w:val="en-IE"/>
        </w:rPr>
        <w:tab/>
      </w:r>
      <w:r w:rsidRPr="003964DC">
        <w:rPr>
          <w:lang w:val="en-IE"/>
        </w:rPr>
        <w:t xml:space="preserve">OECD </w:t>
      </w:r>
      <w:r>
        <w:rPr>
          <w:lang w:val="en-IE"/>
        </w:rPr>
        <w:t>(2025)</w:t>
      </w:r>
      <w:r w:rsidRPr="003964DC">
        <w:rPr>
          <w:lang w:val="en-IE"/>
        </w:rPr>
        <w:t>, pp. 183 – 192. See also country visit Sweden, Confederation of Swedish Industries and Transparency International Sweden.</w:t>
      </w:r>
    </w:p>
  </w:footnote>
  <w:footnote w:id="99">
    <w:p w14:paraId="57ACD43B" w14:textId="0CAF080C" w:rsidR="00A24A13" w:rsidRPr="005F706B" w:rsidRDefault="00A24A13" w:rsidP="00A24A13">
      <w:pPr>
        <w:pStyle w:val="FootnoteText"/>
        <w:rPr>
          <w:lang w:val="en-IE"/>
        </w:rPr>
      </w:pPr>
      <w:r w:rsidRPr="00A63B05">
        <w:rPr>
          <w:rStyle w:val="FootnoteReference"/>
          <w:lang w:val="en-IE"/>
        </w:rPr>
        <w:footnoteRef/>
      </w:r>
      <w:r w:rsidRPr="00A63B05">
        <w:rPr>
          <w:lang w:val="en-IE"/>
        </w:rPr>
        <w:tab/>
      </w:r>
      <w:r w:rsidR="005F0DD0" w:rsidRPr="00A63B05">
        <w:rPr>
          <w:lang w:val="en-IE"/>
        </w:rPr>
        <w:t xml:space="preserve">See </w:t>
      </w:r>
      <w:r w:rsidRPr="00A63B05">
        <w:rPr>
          <w:lang w:val="en-IE"/>
        </w:rPr>
        <w:t>footnote 4</w:t>
      </w:r>
      <w:r w:rsidR="00C53E9D" w:rsidRPr="00F32703">
        <w:rPr>
          <w:lang w:val="en-IE"/>
        </w:rPr>
        <w:t>5</w:t>
      </w:r>
      <w:r w:rsidR="005F0DD0" w:rsidRPr="00A63B05">
        <w:rPr>
          <w:lang w:val="en-IE"/>
        </w:rPr>
        <w:t>, p. 6</w:t>
      </w:r>
      <w:r w:rsidRPr="00A63B05">
        <w:rPr>
          <w:lang w:val="en-IE"/>
        </w:rPr>
        <w:t>.</w:t>
      </w:r>
      <w:r w:rsidRPr="003964DC">
        <w:rPr>
          <w:lang w:val="en-IE"/>
        </w:rPr>
        <w:t xml:space="preserve"> </w:t>
      </w:r>
    </w:p>
  </w:footnote>
  <w:footnote w:id="100">
    <w:p w14:paraId="1C56CB27" w14:textId="77777777" w:rsidR="00A24A13" w:rsidRPr="00BF6638" w:rsidRDefault="00A24A13" w:rsidP="00A24A13">
      <w:pPr>
        <w:pStyle w:val="FootnoteText"/>
        <w:rPr>
          <w:lang w:val="en-IE"/>
        </w:rPr>
      </w:pPr>
      <w:r>
        <w:rPr>
          <w:rStyle w:val="FootnoteReference"/>
        </w:rPr>
        <w:footnoteRef/>
      </w:r>
      <w:r>
        <w:t xml:space="preserve"> </w:t>
      </w:r>
      <w:r>
        <w:tab/>
      </w:r>
      <w:r w:rsidRPr="008A36D3">
        <w:rPr>
          <w:lang w:val="en-IE"/>
        </w:rPr>
        <w:t xml:space="preserve">Country visit Sweden, </w:t>
      </w:r>
      <w:r w:rsidRPr="003964DC">
        <w:rPr>
          <w:lang w:val="en-IE"/>
        </w:rPr>
        <w:t xml:space="preserve">Swedish </w:t>
      </w:r>
      <w:r w:rsidRPr="008A36D3">
        <w:rPr>
          <w:lang w:val="en-IE"/>
        </w:rPr>
        <w:t>Government.</w:t>
      </w:r>
    </w:p>
  </w:footnote>
  <w:footnote w:id="101">
    <w:p w14:paraId="48BC6A57" w14:textId="77777777" w:rsidR="00A24A13" w:rsidRPr="003964DC" w:rsidRDefault="00A24A13" w:rsidP="00A24A13">
      <w:pPr>
        <w:pStyle w:val="FootnoteText"/>
        <w:rPr>
          <w:lang w:val="en-IE"/>
        </w:rPr>
      </w:pPr>
      <w:r w:rsidRPr="003964DC">
        <w:rPr>
          <w:rStyle w:val="FootnoteReference"/>
          <w:lang w:val="en-IE"/>
        </w:rPr>
        <w:footnoteRef/>
      </w:r>
      <w:r w:rsidRPr="003964DC">
        <w:rPr>
          <w:rStyle w:val="FootnoteReference"/>
          <w:lang w:val="en-IE"/>
        </w:rPr>
        <w:tab/>
      </w:r>
      <w:r w:rsidRPr="003964DC">
        <w:rPr>
          <w:lang w:val="en-IE"/>
        </w:rPr>
        <w:t xml:space="preserve">It is scheduled for publication in October 2026. Country visit Sweden, National Audit Office. </w:t>
      </w:r>
    </w:p>
  </w:footnote>
  <w:footnote w:id="102">
    <w:p w14:paraId="7F4856E8" w14:textId="3D4CC6A8" w:rsidR="00A24A13" w:rsidRPr="00A12C36" w:rsidRDefault="00A24A13" w:rsidP="00A24A13">
      <w:pPr>
        <w:pStyle w:val="FootnoteText"/>
        <w:ind w:left="0" w:firstLine="0"/>
        <w:rPr>
          <w:lang w:val="en-IE"/>
        </w:rPr>
      </w:pPr>
      <w:r>
        <w:rPr>
          <w:rStyle w:val="FootnoteReference"/>
        </w:rPr>
        <w:footnoteRef/>
      </w:r>
      <w:r>
        <w:rPr>
          <w:lang w:val="en-IE"/>
        </w:rPr>
        <w:t xml:space="preserve">   </w:t>
      </w:r>
      <w:r w:rsidR="002905D8">
        <w:rPr>
          <w:lang w:val="en-IE"/>
        </w:rPr>
        <w:t xml:space="preserve"> </w:t>
      </w:r>
      <w:r w:rsidRPr="007647B4">
        <w:rPr>
          <w:lang w:val="en-IE"/>
        </w:rPr>
        <w:t xml:space="preserve">Institute Against Corruption, </w:t>
      </w:r>
      <w:r w:rsidR="00E56084">
        <w:rPr>
          <w:lang w:val="en-IE"/>
        </w:rPr>
        <w:t>“</w:t>
      </w:r>
      <w:r w:rsidRPr="007647B4">
        <w:rPr>
          <w:lang w:val="en-IE"/>
        </w:rPr>
        <w:t xml:space="preserve">Corruption </w:t>
      </w:r>
      <w:r w:rsidR="00E56084">
        <w:rPr>
          <w:lang w:val="en-IE"/>
        </w:rPr>
        <w:t>o</w:t>
      </w:r>
      <w:r w:rsidRPr="007647B4">
        <w:rPr>
          <w:lang w:val="en-IE"/>
        </w:rPr>
        <w:t xml:space="preserve">ffence </w:t>
      </w:r>
      <w:r w:rsidR="00E56084">
        <w:rPr>
          <w:lang w:val="en-IE"/>
        </w:rPr>
        <w:t>j</w:t>
      </w:r>
      <w:r w:rsidRPr="007647B4">
        <w:rPr>
          <w:lang w:val="en-IE"/>
        </w:rPr>
        <w:t>udgments in Sweden 2025</w:t>
      </w:r>
      <w:r w:rsidR="00E56084">
        <w:rPr>
          <w:lang w:val="en-IE"/>
        </w:rPr>
        <w:t>”</w:t>
      </w:r>
      <w:r w:rsidRPr="007647B4">
        <w:rPr>
          <w:lang w:val="en-IE"/>
        </w:rPr>
        <w:t>, pp. 4–8</w:t>
      </w:r>
      <w:r>
        <w:rPr>
          <w:lang w:val="en-IE"/>
        </w:rPr>
        <w:t>.</w:t>
      </w:r>
    </w:p>
  </w:footnote>
  <w:footnote w:id="103">
    <w:p w14:paraId="153AF12E" w14:textId="6C30AD15" w:rsidR="00A24A13" w:rsidRPr="00BF6638" w:rsidRDefault="00A24A13" w:rsidP="00A24A13">
      <w:pPr>
        <w:pStyle w:val="FootnoteText"/>
        <w:rPr>
          <w:lang w:val="en-IE"/>
        </w:rPr>
      </w:pPr>
      <w:r>
        <w:rPr>
          <w:rStyle w:val="FootnoteReference"/>
        </w:rPr>
        <w:footnoteRef/>
      </w:r>
      <w:r>
        <w:t xml:space="preserve">  </w:t>
      </w:r>
      <w:r w:rsidR="002905D8">
        <w:t xml:space="preserve"> </w:t>
      </w:r>
      <w:r>
        <w:t xml:space="preserve">In the security industry this covers </w:t>
      </w:r>
      <w:r w:rsidRPr="00EA05EE">
        <w:t>bribes to security and port guards to gain access to facilities</w:t>
      </w:r>
      <w:r>
        <w:t xml:space="preserve"> and </w:t>
      </w:r>
      <w:r w:rsidRPr="00EA05EE">
        <w:t>smuggle goods</w:t>
      </w:r>
      <w:r>
        <w:t xml:space="preserve">, </w:t>
      </w:r>
      <w:r w:rsidR="00431C61">
        <w:t xml:space="preserve">Swedish </w:t>
      </w:r>
      <w:r w:rsidRPr="00D22C5C">
        <w:rPr>
          <w:lang w:val="en-IE"/>
        </w:rPr>
        <w:t xml:space="preserve">Police </w:t>
      </w:r>
      <w:r w:rsidR="00431C61">
        <w:rPr>
          <w:lang w:val="en-IE"/>
        </w:rPr>
        <w:t xml:space="preserve">Authority, </w:t>
      </w:r>
      <w:r w:rsidRPr="00D22C5C">
        <w:rPr>
          <w:lang w:val="en-IE"/>
        </w:rPr>
        <w:t>National Anti-Corruption Unit (2025), Corruption in Sweden – a situational picture, p. 4.</w:t>
      </w:r>
    </w:p>
  </w:footnote>
  <w:footnote w:id="104">
    <w:p w14:paraId="11431E99" w14:textId="456DE356"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Swedish Government (2026), written input p. 10</w:t>
      </w:r>
      <w:r w:rsidR="009762FA">
        <w:rPr>
          <w:lang w:val="en-IE"/>
        </w:rPr>
        <w:t>,</w:t>
      </w:r>
      <w:r w:rsidRPr="003964DC">
        <w:rPr>
          <w:lang w:val="en-IE"/>
        </w:rPr>
        <w:t xml:space="preserve"> Swedish Government Decision of 20 November 2025,</w:t>
      </w:r>
    </w:p>
    <w:p w14:paraId="56F97F7D" w14:textId="77777777" w:rsidR="00A24A13" w:rsidRPr="003964DC" w:rsidRDefault="00A24A13" w:rsidP="00A24A13">
      <w:pPr>
        <w:pStyle w:val="FootnoteText"/>
        <w:ind w:firstLine="0"/>
        <w:rPr>
          <w:lang w:val="en-IE"/>
        </w:rPr>
      </w:pPr>
      <w:r w:rsidRPr="003964DC">
        <w:rPr>
          <w:lang w:val="en-IE"/>
        </w:rPr>
        <w:t>Ku2025/01086.</w:t>
      </w:r>
    </w:p>
  </w:footnote>
  <w:footnote w:id="105">
    <w:p w14:paraId="3C9CC92F" w14:textId="23B73EF3" w:rsidR="00A24A13" w:rsidRPr="005333E7"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Swedish Government (2026), written input p. 9-10</w:t>
      </w:r>
      <w:r w:rsidR="009762FA">
        <w:rPr>
          <w:lang w:val="en-IE"/>
        </w:rPr>
        <w:t>,</w:t>
      </w:r>
      <w:r w:rsidRPr="003964DC">
        <w:rPr>
          <w:lang w:val="en-IE"/>
        </w:rPr>
        <w:t xml:space="preserve"> Swedish Act (2025:1408); Swedish Act (2025:1242).</w:t>
      </w:r>
    </w:p>
  </w:footnote>
  <w:footnote w:id="106">
    <w:p w14:paraId="32D1F26A" w14:textId="2643FB3E" w:rsidR="00A24A13" w:rsidRPr="00243F7D"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Swedish Government (2026), written input p. 9-10</w:t>
      </w:r>
      <w:r w:rsidR="009762FA">
        <w:rPr>
          <w:lang w:val="en-IE"/>
        </w:rPr>
        <w:t>,</w:t>
      </w:r>
      <w:r w:rsidRPr="003964DC">
        <w:rPr>
          <w:lang w:val="en-IE"/>
        </w:rPr>
        <w:t xml:space="preserve"> Swedish Agency for the Media (2026), written input p</w:t>
      </w:r>
      <w:r w:rsidR="000320DE">
        <w:rPr>
          <w:lang w:val="en-IE"/>
        </w:rPr>
        <w:t>p</w:t>
      </w:r>
      <w:r w:rsidRPr="003964DC">
        <w:rPr>
          <w:lang w:val="en-IE"/>
        </w:rPr>
        <w:t>. 14-15.</w:t>
      </w:r>
    </w:p>
  </w:footnote>
  <w:footnote w:id="107">
    <w:p w14:paraId="3B4DA2AD" w14:textId="1B1ADA5D" w:rsidR="00A24A13" w:rsidRPr="00635636"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635636">
        <w:rPr>
          <w:lang w:val="en-IE"/>
        </w:rPr>
        <w:t>Country visit</w:t>
      </w:r>
      <w:r w:rsidR="00D06AA6">
        <w:rPr>
          <w:lang w:val="en-IE"/>
        </w:rPr>
        <w:t xml:space="preserve"> Sweden</w:t>
      </w:r>
      <w:r w:rsidRPr="00635636">
        <w:rPr>
          <w:lang w:val="en-IE"/>
        </w:rPr>
        <w:t>, Swedish Agency for the Media</w:t>
      </w:r>
      <w:r>
        <w:rPr>
          <w:lang w:val="en-IE"/>
        </w:rPr>
        <w:t>.</w:t>
      </w:r>
    </w:p>
  </w:footnote>
  <w:footnote w:id="108">
    <w:p w14:paraId="2C669C58" w14:textId="77777777" w:rsidR="00A24A13" w:rsidRPr="00C7556A" w:rsidRDefault="00A24A13" w:rsidP="00A24A13">
      <w:pPr>
        <w:pStyle w:val="FootnoteText"/>
        <w:rPr>
          <w:lang w:val="en-IE"/>
        </w:rPr>
      </w:pPr>
      <w:r>
        <w:rPr>
          <w:rStyle w:val="FootnoteReference"/>
        </w:rPr>
        <w:footnoteRef/>
      </w:r>
      <w:r>
        <w:t xml:space="preserve"> </w:t>
      </w:r>
      <w:r>
        <w:tab/>
      </w:r>
      <w:r w:rsidRPr="00B25085">
        <w:t>202</w:t>
      </w:r>
      <w:r>
        <w:t>6</w:t>
      </w:r>
      <w:r w:rsidRPr="00B25085">
        <w:t xml:space="preserve"> Media Pluralism Monitor, country report for Sweden, p. 1</w:t>
      </w:r>
      <w:r>
        <w:t>7.</w:t>
      </w:r>
    </w:p>
  </w:footnote>
  <w:footnote w:id="109">
    <w:p w14:paraId="7788991B" w14:textId="5CACEC82" w:rsidR="00A24A13" w:rsidRPr="00690BC5"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690BC5">
        <w:rPr>
          <w:lang w:val="en-IE"/>
        </w:rPr>
        <w:t>Swedish Government (2026), written input</w:t>
      </w:r>
      <w:r>
        <w:rPr>
          <w:lang w:val="en-IE"/>
        </w:rPr>
        <w:t>,</w:t>
      </w:r>
      <w:r w:rsidRPr="00690BC5">
        <w:rPr>
          <w:lang w:val="en-IE"/>
        </w:rPr>
        <w:t xml:space="preserve"> p.</w:t>
      </w:r>
      <w:r>
        <w:rPr>
          <w:lang w:val="en-IE"/>
        </w:rPr>
        <w:t xml:space="preserve"> 8</w:t>
      </w:r>
      <w:r w:rsidR="001F41CC">
        <w:rPr>
          <w:lang w:val="en-IE"/>
        </w:rPr>
        <w:t>,</w:t>
      </w:r>
      <w:r>
        <w:rPr>
          <w:lang w:val="en-IE"/>
        </w:rPr>
        <w:t xml:space="preserve"> Swedish Act </w:t>
      </w:r>
      <w:r w:rsidRPr="00635987">
        <w:rPr>
          <w:lang w:val="en-IE"/>
        </w:rPr>
        <w:t>(2025:986)</w:t>
      </w:r>
      <w:r>
        <w:rPr>
          <w:lang w:val="en-IE"/>
        </w:rPr>
        <w:t>.</w:t>
      </w:r>
    </w:p>
  </w:footnote>
  <w:footnote w:id="110">
    <w:p w14:paraId="4E66A967" w14:textId="77777777" w:rsidR="00A24A13" w:rsidRPr="007E0D02"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Swedish Government (2026), written input</w:t>
      </w:r>
      <w:r>
        <w:rPr>
          <w:lang w:val="en-IE"/>
        </w:rPr>
        <w:t>,</w:t>
      </w:r>
      <w:r w:rsidRPr="003964DC">
        <w:rPr>
          <w:lang w:val="en-IE"/>
        </w:rPr>
        <w:t xml:space="preserve"> p. 8.</w:t>
      </w:r>
    </w:p>
  </w:footnote>
  <w:footnote w:id="111">
    <w:p w14:paraId="537DB35A" w14:textId="35687DE2" w:rsidR="00A24A13" w:rsidRPr="00C53B1B"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000A41BC">
        <w:rPr>
          <w:lang w:val="en-IE"/>
        </w:rPr>
        <w:t>ibidem.</w:t>
      </w:r>
    </w:p>
  </w:footnote>
  <w:footnote w:id="112">
    <w:p w14:paraId="185662DB" w14:textId="04B204B2"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2025 Rule of Law Report, Sweden, p. 13.</w:t>
      </w:r>
    </w:p>
  </w:footnote>
  <w:footnote w:id="113">
    <w:p w14:paraId="451B3942" w14:textId="0CC5006B"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Stakeholders mention that the current funding framework fails to fully account for actual costs. They also point out that the new remit introduces continuous reviews on productivity, impartiality, and efficiency. In their view, this shift not only diverts resources from core operations to administrative burdens, but also risks politicising public trust, as some political parties increasingly allege bias in public service media</w:t>
      </w:r>
      <w:r w:rsidR="005A1C71">
        <w:rPr>
          <w:lang w:val="en-IE"/>
        </w:rPr>
        <w:t xml:space="preserve">, </w:t>
      </w:r>
      <w:r w:rsidR="00C91E9C" w:rsidRPr="003964DC">
        <w:rPr>
          <w:lang w:val="en-IE"/>
        </w:rPr>
        <w:t>Swedish Educational Radio (UR) (2026)</w:t>
      </w:r>
      <w:r w:rsidR="00C91E9C">
        <w:rPr>
          <w:lang w:val="en-IE"/>
        </w:rPr>
        <w:t>,</w:t>
      </w:r>
      <w:r w:rsidR="00C91E9C" w:rsidRPr="003964DC">
        <w:rPr>
          <w:lang w:val="en-IE"/>
        </w:rPr>
        <w:t xml:space="preserve"> Country visit</w:t>
      </w:r>
      <w:r w:rsidR="00C91E9C">
        <w:rPr>
          <w:lang w:val="en-IE"/>
        </w:rPr>
        <w:t xml:space="preserve"> Sweden</w:t>
      </w:r>
      <w:r w:rsidR="00C91E9C" w:rsidRPr="003964DC">
        <w:rPr>
          <w:lang w:val="en-IE"/>
        </w:rPr>
        <w:t>, Swedish Television (SVT).</w:t>
      </w:r>
    </w:p>
  </w:footnote>
  <w:footnote w:id="114">
    <w:p w14:paraId="407080AD" w14:textId="7F86E9E0" w:rsidR="00A24A13" w:rsidRPr="002827EA"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UR (2026)</w:t>
      </w:r>
      <w:r w:rsidR="00C91E9C">
        <w:rPr>
          <w:lang w:val="en-IE"/>
        </w:rPr>
        <w:t>.</w:t>
      </w:r>
    </w:p>
  </w:footnote>
  <w:footnote w:id="115">
    <w:p w14:paraId="370555AC" w14:textId="287B367D"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w:t>
      </w:r>
      <w:r>
        <w:rPr>
          <w:lang w:val="en-IE"/>
        </w:rPr>
        <w:t xml:space="preserve"> Sweden,</w:t>
      </w:r>
      <w:r w:rsidRPr="003964DC">
        <w:rPr>
          <w:lang w:val="en-IE"/>
        </w:rPr>
        <w:t xml:space="preserve"> </w:t>
      </w:r>
      <w:r>
        <w:rPr>
          <w:lang w:val="en-IE"/>
        </w:rPr>
        <w:t>S</w:t>
      </w:r>
      <w:r w:rsidRPr="003964DC">
        <w:rPr>
          <w:lang w:val="en-IE"/>
        </w:rPr>
        <w:t>VT.</w:t>
      </w:r>
    </w:p>
  </w:footnote>
  <w:footnote w:id="116">
    <w:p w14:paraId="62B485BE" w14:textId="5021273C"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w:t>
      </w:r>
      <w:r>
        <w:rPr>
          <w:lang w:val="en-IE"/>
        </w:rPr>
        <w:t xml:space="preserve"> Sweden</w:t>
      </w:r>
      <w:r w:rsidR="005752AC">
        <w:rPr>
          <w:lang w:val="en-IE"/>
        </w:rPr>
        <w:t>,</w:t>
      </w:r>
      <w:r>
        <w:rPr>
          <w:lang w:val="en-IE"/>
        </w:rPr>
        <w:t xml:space="preserve"> </w:t>
      </w:r>
      <w:r w:rsidRPr="003964DC">
        <w:rPr>
          <w:lang w:val="en-IE"/>
        </w:rPr>
        <w:t>Media Ombudsman.</w:t>
      </w:r>
    </w:p>
  </w:footnote>
  <w:footnote w:id="117">
    <w:p w14:paraId="427BB732" w14:textId="31E87F71" w:rsidR="00A24A13" w:rsidRPr="009C7980"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001D0CBA">
        <w:rPr>
          <w:lang w:val="en-IE"/>
        </w:rPr>
        <w:t>UR</w:t>
      </w:r>
      <w:r>
        <w:rPr>
          <w:lang w:val="en-IE"/>
        </w:rPr>
        <w:t xml:space="preserve"> (2026).</w:t>
      </w:r>
    </w:p>
  </w:footnote>
  <w:footnote w:id="118">
    <w:p w14:paraId="1F2FC598" w14:textId="77777777" w:rsidR="00A24A13" w:rsidRPr="00B9579A"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B9579A">
        <w:rPr>
          <w:lang w:val="en-IE"/>
        </w:rPr>
        <w:t>Swedish Government (2026), written input</w:t>
      </w:r>
      <w:r>
        <w:rPr>
          <w:lang w:val="en-IE"/>
        </w:rPr>
        <w:t>,</w:t>
      </w:r>
      <w:r w:rsidRPr="00B9579A">
        <w:rPr>
          <w:lang w:val="en-IE"/>
        </w:rPr>
        <w:t xml:space="preserve"> p.</w:t>
      </w:r>
      <w:r>
        <w:rPr>
          <w:lang w:val="en-IE"/>
        </w:rPr>
        <w:t xml:space="preserve"> 8.</w:t>
      </w:r>
    </w:p>
  </w:footnote>
  <w:footnote w:id="119">
    <w:p w14:paraId="06BC1630" w14:textId="3F6DE872" w:rsidR="00A24A13" w:rsidRPr="0041669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1669C">
        <w:rPr>
          <w:lang w:val="en-IE"/>
        </w:rPr>
        <w:t>2025 Rule of Law Report, Sweden,</w:t>
      </w:r>
      <w:r>
        <w:rPr>
          <w:lang w:val="en-IE"/>
        </w:rPr>
        <w:t xml:space="preserve"> p. 13.</w:t>
      </w:r>
    </w:p>
  </w:footnote>
  <w:footnote w:id="120">
    <w:p w14:paraId="78ABEB3A" w14:textId="77777777" w:rsidR="00A24A13" w:rsidRPr="00DD0A6A"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DD0A6A">
        <w:rPr>
          <w:lang w:val="en-IE"/>
        </w:rPr>
        <w:t>Swedish Government (2026), written input</w:t>
      </w:r>
      <w:r>
        <w:rPr>
          <w:lang w:val="en-IE"/>
        </w:rPr>
        <w:t>,</w:t>
      </w:r>
      <w:r w:rsidRPr="00DD0A6A">
        <w:rPr>
          <w:lang w:val="en-IE"/>
        </w:rPr>
        <w:t xml:space="preserve"> p.</w:t>
      </w:r>
      <w:r>
        <w:rPr>
          <w:lang w:val="en-IE"/>
        </w:rPr>
        <w:t xml:space="preserve"> 9.</w:t>
      </w:r>
    </w:p>
  </w:footnote>
  <w:footnote w:id="121">
    <w:p w14:paraId="766C0E52" w14:textId="77777777" w:rsidR="00A24A13" w:rsidRPr="0049571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95713">
        <w:rPr>
          <w:lang w:val="en-IE"/>
        </w:rPr>
        <w:t>Swedish Government (2026).</w:t>
      </w:r>
    </w:p>
  </w:footnote>
  <w:footnote w:id="122">
    <w:p w14:paraId="2A6E628A" w14:textId="77777777" w:rsidR="00A24A13" w:rsidRPr="0045055E"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5055E">
        <w:rPr>
          <w:lang w:val="en-IE"/>
        </w:rPr>
        <w:t>Swedish Government (2026), written input p.</w:t>
      </w:r>
      <w:r>
        <w:rPr>
          <w:lang w:val="en-IE"/>
        </w:rPr>
        <w:t xml:space="preserve"> 10; Swedish Government </w:t>
      </w:r>
      <w:r w:rsidRPr="00DF26A7">
        <w:rPr>
          <w:lang w:val="en-IE"/>
        </w:rPr>
        <w:t>Prop</w:t>
      </w:r>
      <w:r>
        <w:rPr>
          <w:lang w:val="en-IE"/>
        </w:rPr>
        <w:t>osal</w:t>
      </w:r>
      <w:r w:rsidRPr="00DF26A7">
        <w:rPr>
          <w:lang w:val="en-IE"/>
        </w:rPr>
        <w:t xml:space="preserve"> 2025/26:71</w:t>
      </w:r>
      <w:r>
        <w:rPr>
          <w:lang w:val="en-IE"/>
        </w:rPr>
        <w:t>.</w:t>
      </w:r>
    </w:p>
  </w:footnote>
  <w:footnote w:id="123">
    <w:p w14:paraId="67C7209F" w14:textId="75A7D049" w:rsidR="00A24A13" w:rsidRPr="002C650A"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F32703">
        <w:rPr>
          <w:lang w:val="en-IE"/>
        </w:rPr>
        <w:t>ibid</w:t>
      </w:r>
      <w:r w:rsidR="002C650A" w:rsidRPr="00F32703">
        <w:rPr>
          <w:lang w:val="en-IE"/>
        </w:rPr>
        <w:t>em</w:t>
      </w:r>
      <w:r w:rsidRPr="002C650A">
        <w:rPr>
          <w:lang w:val="en-IE"/>
        </w:rPr>
        <w:t>.</w:t>
      </w:r>
    </w:p>
  </w:footnote>
  <w:footnote w:id="124">
    <w:p w14:paraId="5D3B6175" w14:textId="73EDE13D" w:rsidR="00A24A13" w:rsidRPr="0049571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95713">
        <w:rPr>
          <w:lang w:val="en-IE"/>
        </w:rPr>
        <w:t>Country visit</w:t>
      </w:r>
      <w:r w:rsidR="002C650A">
        <w:rPr>
          <w:lang w:val="en-IE"/>
        </w:rPr>
        <w:t xml:space="preserve"> Sweden</w:t>
      </w:r>
      <w:r w:rsidRPr="00495713">
        <w:rPr>
          <w:lang w:val="en-IE"/>
        </w:rPr>
        <w:t>, Swedish Government.</w:t>
      </w:r>
    </w:p>
  </w:footnote>
  <w:footnote w:id="125">
    <w:p w14:paraId="4A169C58" w14:textId="77777777" w:rsidR="00A24A13" w:rsidRPr="0049571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95713">
        <w:rPr>
          <w:lang w:val="en-IE"/>
        </w:rPr>
        <w:t>Swedish Act (2009:400).</w:t>
      </w:r>
    </w:p>
  </w:footnote>
  <w:footnote w:id="126">
    <w:p w14:paraId="6078C9D0" w14:textId="767B2172" w:rsidR="00A24A13" w:rsidRPr="005141F8"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5141F8">
        <w:rPr>
          <w:lang w:val="en-IE"/>
        </w:rPr>
        <w:t>Country visit</w:t>
      </w:r>
      <w:r w:rsidR="002C650A">
        <w:rPr>
          <w:lang w:val="en-IE"/>
        </w:rPr>
        <w:t xml:space="preserve"> Sweden</w:t>
      </w:r>
      <w:r w:rsidRPr="005141F8">
        <w:rPr>
          <w:lang w:val="en-IE"/>
        </w:rPr>
        <w:t xml:space="preserve">, </w:t>
      </w:r>
      <w:r w:rsidR="00993FF0">
        <w:rPr>
          <w:lang w:val="en-IE"/>
        </w:rPr>
        <w:t>Swedish Union of Journalists</w:t>
      </w:r>
      <w:r>
        <w:rPr>
          <w:lang w:val="en-IE"/>
        </w:rPr>
        <w:t>, Media Ombudsman, SVT, UR (2026).</w:t>
      </w:r>
    </w:p>
  </w:footnote>
  <w:footnote w:id="127">
    <w:p w14:paraId="14E31558" w14:textId="6CBF0FEB" w:rsidR="00A24A13" w:rsidRPr="0049571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95713">
        <w:rPr>
          <w:lang w:val="en-IE"/>
        </w:rPr>
        <w:t>Country visit</w:t>
      </w:r>
      <w:r>
        <w:rPr>
          <w:lang w:val="en-IE"/>
        </w:rPr>
        <w:t xml:space="preserve"> Sweden,</w:t>
      </w:r>
      <w:r w:rsidRPr="00495713">
        <w:rPr>
          <w:lang w:val="en-IE"/>
        </w:rPr>
        <w:t xml:space="preserve"> Media Ombudsman.</w:t>
      </w:r>
    </w:p>
  </w:footnote>
  <w:footnote w:id="128">
    <w:p w14:paraId="66B69035" w14:textId="3FAA3C6B" w:rsidR="00A24A13" w:rsidRPr="00906817" w:rsidRDefault="00A24A13" w:rsidP="00A24A13">
      <w:pPr>
        <w:pStyle w:val="FootnoteText"/>
        <w:rPr>
          <w:lang w:val="en-IE"/>
        </w:rPr>
      </w:pPr>
      <w:r>
        <w:rPr>
          <w:rStyle w:val="FootnoteReference"/>
        </w:rPr>
        <w:footnoteRef/>
      </w:r>
      <w:r>
        <w:t xml:space="preserve"> </w:t>
      </w:r>
      <w:r w:rsidR="002C650A">
        <w:t xml:space="preserve">  </w:t>
      </w:r>
      <w:r w:rsidRPr="00B25085">
        <w:t>202</w:t>
      </w:r>
      <w:r>
        <w:t>6</w:t>
      </w:r>
      <w:r w:rsidRPr="00B25085">
        <w:t xml:space="preserve"> Media Pluralism Monitor, country report for Sweden, p. 1</w:t>
      </w:r>
      <w:r>
        <w:t>3.</w:t>
      </w:r>
    </w:p>
  </w:footnote>
  <w:footnote w:id="129">
    <w:p w14:paraId="04C726C9" w14:textId="77777777"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w:t>
      </w:r>
      <w:r>
        <w:rPr>
          <w:lang w:val="en-IE"/>
        </w:rPr>
        <w:t xml:space="preserve"> Sweden,</w:t>
      </w:r>
      <w:r w:rsidRPr="003964DC">
        <w:rPr>
          <w:lang w:val="en-IE"/>
        </w:rPr>
        <w:t xml:space="preserve"> Swedish Agency for the Media, Media Ombudsman, SVT.</w:t>
      </w:r>
    </w:p>
  </w:footnote>
  <w:footnote w:id="130">
    <w:p w14:paraId="6727A537" w14:textId="78D28DCC" w:rsidR="00A24A13" w:rsidRPr="0095704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w:t>
      </w:r>
      <w:r>
        <w:rPr>
          <w:lang w:val="en-IE"/>
        </w:rPr>
        <w:t xml:space="preserve"> Sweden,</w:t>
      </w:r>
      <w:r w:rsidRPr="003964DC">
        <w:rPr>
          <w:lang w:val="en-IE"/>
        </w:rPr>
        <w:t xml:space="preserve"> </w:t>
      </w:r>
      <w:r w:rsidR="00993FF0">
        <w:rPr>
          <w:lang w:val="en-IE"/>
        </w:rPr>
        <w:t>Swedish Union of Journalists</w:t>
      </w:r>
      <w:r w:rsidRPr="003964DC">
        <w:rPr>
          <w:lang w:val="en-IE"/>
        </w:rPr>
        <w:t>, Media Ombudsman, SVT.</w:t>
      </w:r>
    </w:p>
  </w:footnote>
  <w:footnote w:id="131">
    <w:p w14:paraId="76FA11A8" w14:textId="4096CCCF" w:rsidR="00A24A13" w:rsidRPr="00D27D0A"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D27D0A">
        <w:rPr>
          <w:lang w:val="en-IE"/>
        </w:rPr>
        <w:t>Country visit</w:t>
      </w:r>
      <w:r>
        <w:rPr>
          <w:lang w:val="en-IE"/>
        </w:rPr>
        <w:t xml:space="preserve"> Sweden,</w:t>
      </w:r>
      <w:r w:rsidRPr="00D27D0A">
        <w:rPr>
          <w:lang w:val="en-IE"/>
        </w:rPr>
        <w:t xml:space="preserve"> </w:t>
      </w:r>
      <w:r w:rsidR="00993FF0">
        <w:rPr>
          <w:lang w:val="en-IE"/>
        </w:rPr>
        <w:t>Swedish Union of Journalists</w:t>
      </w:r>
      <w:r>
        <w:rPr>
          <w:lang w:val="en-IE"/>
        </w:rPr>
        <w:t>.</w:t>
      </w:r>
    </w:p>
  </w:footnote>
  <w:footnote w:id="132">
    <w:p w14:paraId="728462B3" w14:textId="743C0B38" w:rsidR="00A24A13" w:rsidRPr="0049571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495713">
        <w:rPr>
          <w:lang w:val="en-IE"/>
        </w:rPr>
        <w:t>Country visit,</w:t>
      </w:r>
      <w:r>
        <w:rPr>
          <w:lang w:val="en-IE"/>
        </w:rPr>
        <w:t xml:space="preserve"> Sweden, </w:t>
      </w:r>
      <w:r w:rsidRPr="00495713">
        <w:rPr>
          <w:lang w:val="en-IE"/>
        </w:rPr>
        <w:t>Media Ombu</w:t>
      </w:r>
      <w:r w:rsidR="00993FF0">
        <w:rPr>
          <w:lang w:val="en-IE"/>
        </w:rPr>
        <w:t>d</w:t>
      </w:r>
      <w:r w:rsidRPr="00495713">
        <w:rPr>
          <w:lang w:val="en-IE"/>
        </w:rPr>
        <w:t>sman.</w:t>
      </w:r>
    </w:p>
  </w:footnote>
  <w:footnote w:id="133">
    <w:p w14:paraId="5BCB52DB" w14:textId="77777777" w:rsidR="00A24A13" w:rsidRPr="009C7980"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9C7980">
        <w:rPr>
          <w:lang w:val="en-IE"/>
        </w:rPr>
        <w:t>Country visit</w:t>
      </w:r>
      <w:r>
        <w:rPr>
          <w:lang w:val="en-IE"/>
        </w:rPr>
        <w:t xml:space="preserve"> Sweden,</w:t>
      </w:r>
      <w:r w:rsidRPr="009C7980">
        <w:rPr>
          <w:lang w:val="en-IE"/>
        </w:rPr>
        <w:t xml:space="preserve"> Swedish Government.</w:t>
      </w:r>
    </w:p>
  </w:footnote>
  <w:footnote w:id="134">
    <w:p w14:paraId="22366FB5" w14:textId="6B226242" w:rsidR="00A24A13" w:rsidRPr="00F32703" w:rsidRDefault="00A24A13" w:rsidP="00A24A13">
      <w:pPr>
        <w:pStyle w:val="FootnoteText"/>
        <w:rPr>
          <w:lang w:val="en-IE"/>
        </w:rPr>
      </w:pPr>
      <w:r>
        <w:rPr>
          <w:rStyle w:val="FootnoteReference"/>
        </w:rPr>
        <w:footnoteRef/>
      </w:r>
      <w:r w:rsidRPr="00F32703">
        <w:rPr>
          <w:lang w:val="en-IE"/>
        </w:rPr>
        <w:t xml:space="preserve"> Swedish Government (2026), </w:t>
      </w:r>
      <w:r w:rsidR="006C5A28" w:rsidRPr="00F32703">
        <w:rPr>
          <w:lang w:val="en-IE"/>
        </w:rPr>
        <w:t xml:space="preserve">Act </w:t>
      </w:r>
      <w:r w:rsidR="00444F13" w:rsidRPr="00F32703">
        <w:rPr>
          <w:lang w:val="en-IE"/>
        </w:rPr>
        <w:t xml:space="preserve">(2026:241) </w:t>
      </w:r>
      <w:r w:rsidR="006C5A28" w:rsidRPr="00F32703">
        <w:rPr>
          <w:lang w:val="en-IE"/>
        </w:rPr>
        <w:t>on the protection of participation in public debate in disputes with cross-border implications</w:t>
      </w:r>
      <w:r w:rsidRPr="00F32703">
        <w:rPr>
          <w:lang w:val="en-IE"/>
        </w:rPr>
        <w:t>.</w:t>
      </w:r>
    </w:p>
  </w:footnote>
  <w:footnote w:id="135">
    <w:p w14:paraId="1D68258F" w14:textId="21205E56" w:rsidR="00A24A13" w:rsidRPr="003F108B" w:rsidRDefault="00A24A13" w:rsidP="00A24A13">
      <w:pPr>
        <w:pStyle w:val="FootnoteText"/>
        <w:rPr>
          <w:lang w:val="en-IE"/>
        </w:rPr>
      </w:pPr>
      <w:r w:rsidRPr="003F108B">
        <w:rPr>
          <w:rStyle w:val="FootnoteReference"/>
        </w:rPr>
        <w:footnoteRef/>
      </w:r>
      <w:r w:rsidRPr="003F108B">
        <w:t xml:space="preserve"> </w:t>
      </w:r>
      <w:r w:rsidRPr="003F108B">
        <w:tab/>
        <w:t xml:space="preserve">2025 Rule of Law Report, Sweden, pp. 14-15. </w:t>
      </w:r>
    </w:p>
  </w:footnote>
  <w:footnote w:id="136">
    <w:p w14:paraId="3F759845" w14:textId="5C0FCD4C" w:rsidR="00A24A13" w:rsidRPr="003F108B" w:rsidRDefault="00A24A13" w:rsidP="00A24A13">
      <w:pPr>
        <w:pStyle w:val="FootnoteText"/>
        <w:rPr>
          <w:lang w:val="en-IE"/>
        </w:rPr>
      </w:pPr>
      <w:r w:rsidRPr="003F108B">
        <w:rPr>
          <w:rStyle w:val="FootnoteReference"/>
        </w:rPr>
        <w:footnoteRef/>
      </w:r>
      <w:r w:rsidRPr="003F108B">
        <w:t xml:space="preserve"> </w:t>
      </w:r>
      <w:r w:rsidRPr="003F108B">
        <w:rPr>
          <w:lang w:val="en-IE"/>
        </w:rPr>
        <w:t xml:space="preserve"> </w:t>
      </w:r>
      <w:r w:rsidR="008933C4" w:rsidRPr="003F108B">
        <w:rPr>
          <w:lang w:val="en-IE"/>
        </w:rPr>
        <w:t xml:space="preserve"> </w:t>
      </w:r>
      <w:r w:rsidRPr="003F108B">
        <w:rPr>
          <w:lang w:val="en-IE"/>
        </w:rPr>
        <w:t>Swedish Government (2026a)</w:t>
      </w:r>
      <w:r w:rsidR="007B4199">
        <w:rPr>
          <w:lang w:val="en-IE"/>
        </w:rPr>
        <w:t>.</w:t>
      </w:r>
    </w:p>
  </w:footnote>
  <w:footnote w:id="137">
    <w:p w14:paraId="1D5F672F" w14:textId="57F56405" w:rsidR="00A24A13" w:rsidRPr="003F108B" w:rsidRDefault="00A24A13" w:rsidP="00A24A13">
      <w:pPr>
        <w:pStyle w:val="FootnoteText"/>
        <w:rPr>
          <w:lang w:val="en-IE"/>
        </w:rPr>
      </w:pPr>
      <w:r w:rsidRPr="003F108B">
        <w:rPr>
          <w:rStyle w:val="FootnoteReference"/>
          <w:lang w:val="en-IE"/>
        </w:rPr>
        <w:footnoteRef/>
      </w:r>
      <w:r w:rsidRPr="003F108B">
        <w:rPr>
          <w:rStyle w:val="FootnoteReference"/>
          <w:lang w:val="en-IE"/>
        </w:rPr>
        <w:tab/>
      </w:r>
      <w:r w:rsidRPr="003F108B">
        <w:rPr>
          <w:lang w:val="en-IE"/>
        </w:rPr>
        <w:t xml:space="preserve">Country visit Sweden, Swedish ICJ </w:t>
      </w:r>
      <w:r w:rsidR="00CA0360" w:rsidRPr="003F108B">
        <w:rPr>
          <w:lang w:val="en-IE"/>
        </w:rPr>
        <w:t>-</w:t>
      </w:r>
      <w:r w:rsidRPr="003F108B">
        <w:rPr>
          <w:lang w:val="en-IE"/>
        </w:rPr>
        <w:t xml:space="preserve"> Civil Rights Defenders, Swedish National Human Rights Institution. </w:t>
      </w:r>
      <w:r w:rsidRPr="003F108B">
        <w:t xml:space="preserve"> Under the relevant OECD Indicators of </w:t>
      </w:r>
      <w:r w:rsidR="00F902B0" w:rsidRPr="003F108B">
        <w:t>r</w:t>
      </w:r>
      <w:r w:rsidRPr="003F108B">
        <w:t xml:space="preserve">egulatory </w:t>
      </w:r>
      <w:r w:rsidR="00F902B0" w:rsidRPr="003F108B">
        <w:t>p</w:t>
      </w:r>
      <w:r w:rsidRPr="003F108B">
        <w:t xml:space="preserve">olicy and </w:t>
      </w:r>
      <w:r w:rsidR="00F902B0" w:rsidRPr="003F108B">
        <w:t>g</w:t>
      </w:r>
      <w:r w:rsidRPr="003F108B">
        <w:t xml:space="preserve">overnance (iREG), Sweden scores slightly below the EU average on stakeholder engagement. </w:t>
      </w:r>
    </w:p>
  </w:footnote>
  <w:footnote w:id="138">
    <w:p w14:paraId="700640ED" w14:textId="47E9ABDA" w:rsidR="00A24A13" w:rsidRPr="003F108B" w:rsidRDefault="00A24A13" w:rsidP="00A24A13">
      <w:pPr>
        <w:pStyle w:val="FootnoteText"/>
        <w:rPr>
          <w:lang w:val="en-IE"/>
        </w:rPr>
      </w:pPr>
      <w:r w:rsidRPr="003F108B">
        <w:rPr>
          <w:rStyle w:val="FootnoteReference"/>
        </w:rPr>
        <w:footnoteRef/>
      </w:r>
      <w:r w:rsidRPr="003F108B">
        <w:t xml:space="preserve"> This covers those legislative initiatives that had a consultation period of 30 weeks or less, </w:t>
      </w:r>
      <w:r w:rsidRPr="00F32703">
        <w:t>Swedish Government (2026a)</w:t>
      </w:r>
      <w:r w:rsidR="007B4199">
        <w:t>.</w:t>
      </w:r>
    </w:p>
  </w:footnote>
  <w:footnote w:id="139">
    <w:p w14:paraId="3AF5AF8C" w14:textId="094CD2DD" w:rsidR="00A24A13" w:rsidRPr="003F108B" w:rsidRDefault="00A24A13" w:rsidP="00A24A13">
      <w:pPr>
        <w:pStyle w:val="FootnoteText"/>
        <w:rPr>
          <w:lang w:val="en-IE"/>
        </w:rPr>
      </w:pPr>
      <w:r w:rsidRPr="003F108B">
        <w:rPr>
          <w:rStyle w:val="FootnoteReference"/>
          <w:lang w:val="en-IE"/>
        </w:rPr>
        <w:footnoteRef/>
      </w:r>
      <w:r w:rsidRPr="003F108B">
        <w:rPr>
          <w:rStyle w:val="FootnoteReference"/>
          <w:lang w:val="en-IE"/>
        </w:rPr>
        <w:tab/>
      </w:r>
      <w:r w:rsidRPr="003F108B">
        <w:rPr>
          <w:lang w:val="en-IE"/>
        </w:rPr>
        <w:t>Country visit Sweden, Swedish Government</w:t>
      </w:r>
      <w:r w:rsidR="00DC4116" w:rsidRPr="003F108B">
        <w:rPr>
          <w:lang w:val="en-IE"/>
        </w:rPr>
        <w:t>.</w:t>
      </w:r>
    </w:p>
  </w:footnote>
  <w:footnote w:id="140">
    <w:p w14:paraId="7E5C539D" w14:textId="77777777" w:rsidR="00A24A13" w:rsidRPr="000C365E" w:rsidRDefault="00A24A13" w:rsidP="00A24A13">
      <w:pPr>
        <w:pStyle w:val="FootnoteText"/>
        <w:rPr>
          <w:lang w:val="en-IE"/>
        </w:rPr>
      </w:pPr>
      <w:r w:rsidRPr="003F108B">
        <w:rPr>
          <w:rStyle w:val="FootnoteReference"/>
          <w:lang w:val="en-IE"/>
        </w:rPr>
        <w:footnoteRef/>
      </w:r>
      <w:r w:rsidRPr="003F108B">
        <w:rPr>
          <w:lang w:val="en-IE"/>
        </w:rPr>
        <w:t xml:space="preserve"> </w:t>
      </w:r>
      <w:r w:rsidRPr="003F108B">
        <w:rPr>
          <w:rStyle w:val="FootnoteReference"/>
          <w:lang w:val="en-IE"/>
        </w:rPr>
        <w:tab/>
      </w:r>
      <w:r w:rsidRPr="003F108B">
        <w:rPr>
          <w:lang w:val="en-IE"/>
        </w:rPr>
        <w:t>Country visit Sweden, Ministry of Justice.</w:t>
      </w:r>
    </w:p>
  </w:footnote>
  <w:footnote w:id="141">
    <w:p w14:paraId="3700B25C" w14:textId="1069D62E" w:rsidR="00A24A13" w:rsidRPr="000C365E" w:rsidRDefault="00A24A13" w:rsidP="00A24A13">
      <w:pPr>
        <w:pStyle w:val="FootnoteText"/>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Pr>
          <w:lang w:val="en-IE"/>
        </w:rPr>
        <w:t xml:space="preserve">See for example </w:t>
      </w:r>
      <w:r w:rsidRPr="003964DC">
        <w:rPr>
          <w:lang w:val="en-IE"/>
        </w:rPr>
        <w:t>Council on Legislation</w:t>
      </w:r>
      <w:r>
        <w:rPr>
          <w:lang w:val="en-IE"/>
        </w:rPr>
        <w:t xml:space="preserve"> Opinion on </w:t>
      </w:r>
      <w:r w:rsidR="00F902B0">
        <w:rPr>
          <w:lang w:val="en-IE"/>
        </w:rPr>
        <w:t>g</w:t>
      </w:r>
      <w:r w:rsidRPr="00461F20">
        <w:rPr>
          <w:lang w:val="en-IE"/>
        </w:rPr>
        <w:t>overnment’s proposed criminal law reforms</w:t>
      </w:r>
      <w:r>
        <w:rPr>
          <w:lang w:val="en-IE"/>
        </w:rPr>
        <w:t>.</w:t>
      </w:r>
    </w:p>
  </w:footnote>
  <w:footnote w:id="142">
    <w:p w14:paraId="24BB003C" w14:textId="77777777" w:rsidR="001363A6" w:rsidRPr="001D7FD1" w:rsidRDefault="001363A6" w:rsidP="001363A6">
      <w:pPr>
        <w:pStyle w:val="FootnoteText"/>
        <w:rPr>
          <w:lang w:val="en-IE"/>
        </w:rPr>
      </w:pPr>
      <w:r>
        <w:rPr>
          <w:rStyle w:val="FootnoteReference"/>
        </w:rPr>
        <w:footnoteRef/>
      </w:r>
      <w:r>
        <w:tab/>
      </w:r>
      <w:r w:rsidR="137E28C8" w:rsidRPr="00D26F5D">
        <w:rPr>
          <w:bCs/>
          <w:szCs w:val="24"/>
        </w:rPr>
        <w:t>Govt. Bill 2024/25:155</w:t>
      </w:r>
      <w:r w:rsidR="137E28C8">
        <w:rPr>
          <w:bCs/>
          <w:szCs w:val="24"/>
        </w:rPr>
        <w:t>.</w:t>
      </w:r>
    </w:p>
  </w:footnote>
  <w:footnote w:id="143">
    <w:p w14:paraId="3504D6E3" w14:textId="62602392" w:rsidR="001363A6" w:rsidRPr="001D7FD1" w:rsidRDefault="001363A6" w:rsidP="001363A6">
      <w:pPr>
        <w:pStyle w:val="FootnoteText"/>
        <w:rPr>
          <w:lang w:val="en-IE"/>
        </w:rPr>
      </w:pPr>
      <w:r w:rsidRPr="003F108B">
        <w:rPr>
          <w:rStyle w:val="FootnoteReference"/>
        </w:rPr>
        <w:footnoteRef/>
      </w:r>
      <w:r w:rsidRPr="003F108B">
        <w:rPr>
          <w:lang w:val="en-IE"/>
        </w:rPr>
        <w:tab/>
      </w:r>
      <w:r w:rsidR="137E28C8">
        <w:t>Swedish Government (2026a)</w:t>
      </w:r>
      <w:r w:rsidR="007B4199">
        <w:t>.</w:t>
      </w:r>
    </w:p>
  </w:footnote>
  <w:footnote w:id="144">
    <w:p w14:paraId="30C744DF" w14:textId="77777777" w:rsidR="00A24A13" w:rsidRPr="00A87336" w:rsidRDefault="00A24A13" w:rsidP="00A24A13">
      <w:pPr>
        <w:pStyle w:val="FootnoteText"/>
      </w:pPr>
      <w:r w:rsidRPr="00056F1D">
        <w:rPr>
          <w:rStyle w:val="FootnoteReference"/>
        </w:rPr>
        <w:footnoteRef/>
      </w:r>
      <w:r w:rsidRPr="00056F1D">
        <w:t xml:space="preserve"> </w:t>
      </w:r>
      <w:r w:rsidRPr="00056F1D">
        <w:tab/>
        <w:t>Figure</w:t>
      </w:r>
      <w:r>
        <w:t>s</w:t>
      </w:r>
      <w:r w:rsidRPr="00056F1D">
        <w:t xml:space="preserve"> </w:t>
      </w:r>
      <w:r>
        <w:t>52 and 53</w:t>
      </w:r>
      <w:r w:rsidRPr="00056F1D">
        <w:t>, 202</w:t>
      </w:r>
      <w:r>
        <w:t>6</w:t>
      </w:r>
      <w:r w:rsidRPr="00056F1D">
        <w:t xml:space="preserve"> EU </w:t>
      </w:r>
      <w:r w:rsidRPr="00A87336">
        <w:t>Justice Scoreboard</w:t>
      </w:r>
      <w:r>
        <w:t>. Only 4</w:t>
      </w:r>
      <w:r w:rsidRPr="00A87336">
        <w:t xml:space="preserve">% and </w:t>
      </w:r>
      <w:r>
        <w:t>3</w:t>
      </w:r>
      <w:r w:rsidRPr="00A87336">
        <w:t>%</w:t>
      </w:r>
      <w:r>
        <w:t xml:space="preserve"> </w:t>
      </w:r>
      <w:r w:rsidRPr="00591976">
        <w:t>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t>.</w:t>
      </w:r>
    </w:p>
  </w:footnote>
  <w:footnote w:id="145">
    <w:p w14:paraId="67A9E37E" w14:textId="77777777" w:rsidR="00A24A13" w:rsidRPr="0079659C" w:rsidRDefault="00A24A13" w:rsidP="00A24A13">
      <w:pPr>
        <w:pStyle w:val="FootnoteText"/>
      </w:pPr>
      <w:r w:rsidRPr="00056F1D">
        <w:rPr>
          <w:rStyle w:val="FootnoteReference"/>
        </w:rPr>
        <w:footnoteRef/>
      </w:r>
      <w:r w:rsidRPr="0079659C">
        <w:t xml:space="preserve"> </w:t>
      </w:r>
      <w:r w:rsidRPr="0079659C">
        <w:tab/>
        <w:t xml:space="preserve">Figure </w:t>
      </w:r>
      <w:r>
        <w:t>60</w:t>
      </w:r>
      <w:r w:rsidRPr="0079659C">
        <w:t>, 202</w:t>
      </w:r>
      <w:r>
        <w:t>6</w:t>
      </w:r>
      <w:r w:rsidRPr="0079659C">
        <w:t xml:space="preserve"> EU Justice Scoreboard.</w:t>
      </w:r>
    </w:p>
  </w:footnote>
  <w:footnote w:id="146">
    <w:p w14:paraId="7B8959B9" w14:textId="77777777" w:rsidR="00A24A13" w:rsidRPr="00866ABA" w:rsidRDefault="00A24A13" w:rsidP="00A24A13">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47">
    <w:p w14:paraId="5F43FF33" w14:textId="77777777" w:rsidR="00A24A13" w:rsidRPr="000915BB" w:rsidRDefault="00A24A13" w:rsidP="00A24A13">
      <w:pPr>
        <w:pStyle w:val="FootnoteText"/>
      </w:pPr>
      <w:r w:rsidRPr="000915BB">
        <w:rPr>
          <w:rStyle w:val="FootnoteReference"/>
        </w:rPr>
        <w:footnoteRef/>
      </w:r>
      <w:r w:rsidRPr="000915BB">
        <w:t xml:space="preserve"> </w:t>
      </w:r>
      <w:r w:rsidRPr="000915BB">
        <w:tab/>
        <w:t xml:space="preserve">For an explanation of the supervision process, see the </w:t>
      </w:r>
      <w:hyperlink r:id="rId2" w:history="1">
        <w:r w:rsidRPr="000915BB">
          <w:rPr>
            <w:rStyle w:val="Hyperlink"/>
          </w:rPr>
          <w:t>website</w:t>
        </w:r>
      </w:hyperlink>
      <w:r w:rsidRPr="000915BB">
        <w:t xml:space="preserve"> of the Council of Europe.  </w:t>
      </w:r>
    </w:p>
  </w:footnote>
  <w:footnote w:id="148">
    <w:p w14:paraId="4EA21E12" w14:textId="6448B9E9" w:rsidR="00A24A13" w:rsidRPr="00874C2F" w:rsidRDefault="00A24A13" w:rsidP="00A24A13">
      <w:pPr>
        <w:pStyle w:val="FootnoteText"/>
      </w:pPr>
      <w:r>
        <w:rPr>
          <w:rStyle w:val="FootnoteReference"/>
        </w:rPr>
        <w:footnoteRef/>
      </w:r>
      <w:r>
        <w:t xml:space="preserve"> </w:t>
      </w:r>
      <w:r w:rsidR="00DC4116">
        <w:t xml:space="preserve"> </w:t>
      </w:r>
      <w:r>
        <w:t>Judgment of the ECtHR</w:t>
      </w:r>
      <w:r w:rsidRPr="00A0580E">
        <w:rPr>
          <w:i/>
          <w:iCs/>
        </w:rPr>
        <w:t xml:space="preserve">, </w:t>
      </w:r>
      <w:r>
        <w:rPr>
          <w:lang w:val="en-IE"/>
        </w:rPr>
        <w:t>35252/08</w:t>
      </w:r>
      <w:r>
        <w:t xml:space="preserve">, </w:t>
      </w:r>
      <w:r w:rsidRPr="00A0580E">
        <w:rPr>
          <w:i/>
          <w:iCs/>
          <w:lang w:val="en-IE"/>
        </w:rPr>
        <w:t>Centrum for Rattvisa v. Sweden</w:t>
      </w:r>
      <w:r>
        <w:t>.</w:t>
      </w:r>
      <w:r w:rsidRPr="00B44F97">
        <w:rPr>
          <w:lang w:val="en-IE"/>
        </w:rPr>
        <w:t xml:space="preserve"> </w:t>
      </w:r>
      <w:r w:rsidRPr="000915BB">
        <w:t>E</w:t>
      </w:r>
      <w:r>
        <w:t>uropean Implementation Network</w:t>
      </w:r>
      <w:r w:rsidRPr="000915BB">
        <w:t xml:space="preserve"> (</w:t>
      </w:r>
      <w:r>
        <w:t>2026</w:t>
      </w:r>
      <w:r w:rsidRPr="000915BB">
        <w:t>), written input, p. 9.</w:t>
      </w:r>
    </w:p>
  </w:footnote>
  <w:footnote w:id="149">
    <w:p w14:paraId="3C686A83" w14:textId="21F9CF56" w:rsidR="00A24A13" w:rsidRPr="00087412" w:rsidRDefault="00A24A13" w:rsidP="00A24A13">
      <w:pPr>
        <w:pStyle w:val="FootnoteText"/>
      </w:pPr>
      <w:r w:rsidRPr="000915BB">
        <w:rPr>
          <w:rStyle w:val="FootnoteReference"/>
        </w:rPr>
        <w:footnoteRef/>
      </w:r>
      <w:r w:rsidRPr="000915BB">
        <w:t xml:space="preserve"> </w:t>
      </w:r>
      <w:r w:rsidRPr="000915BB">
        <w:tab/>
        <w:t>Council of Europe (</w:t>
      </w:r>
      <w:r>
        <w:t>2026</w:t>
      </w:r>
      <w:r w:rsidRPr="000915BB">
        <w:t>), p</w:t>
      </w:r>
      <w:r>
        <w:t>. 163</w:t>
      </w:r>
      <w:r w:rsidR="00754551">
        <w:t>.</w:t>
      </w:r>
    </w:p>
  </w:footnote>
  <w:footnote w:id="150">
    <w:p w14:paraId="0CCAF27E" w14:textId="77777777" w:rsidR="00A24A13" w:rsidRPr="000915BB" w:rsidRDefault="00A24A13" w:rsidP="00A24A13">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51">
    <w:p w14:paraId="60C58983" w14:textId="59300310" w:rsidR="00A24A13" w:rsidRPr="00B70197" w:rsidRDefault="00A24A13" w:rsidP="00A24A13">
      <w:pPr>
        <w:pStyle w:val="FootnoteText"/>
      </w:pPr>
      <w:r>
        <w:rPr>
          <w:rStyle w:val="FootnoteReference"/>
        </w:rPr>
        <w:footnoteRef/>
      </w:r>
      <w:r w:rsidRPr="00CC69E1">
        <w:rPr>
          <w:rStyle w:val="FootnoteReference"/>
          <w:lang w:val="en-IE"/>
        </w:rPr>
        <w:tab/>
      </w:r>
      <w:r>
        <w:rPr>
          <w:lang w:val="en-IE"/>
        </w:rPr>
        <w:t xml:space="preserve">2025 </w:t>
      </w:r>
      <w:r>
        <w:t xml:space="preserve">Rule of Law Report, Sweden, pp. 16-17. </w:t>
      </w:r>
    </w:p>
  </w:footnote>
  <w:footnote w:id="152">
    <w:p w14:paraId="15395A35" w14:textId="68FBB5F3" w:rsidR="00A24A13" w:rsidRPr="007760AC" w:rsidRDefault="00A24A13" w:rsidP="00A24A13">
      <w:pPr>
        <w:pStyle w:val="FootnoteText"/>
      </w:pPr>
      <w:r>
        <w:rPr>
          <w:rStyle w:val="FootnoteReference"/>
        </w:rPr>
        <w:footnoteRef/>
      </w:r>
      <w:r>
        <w:t xml:space="preserve">  2025 </w:t>
      </w:r>
      <w:r w:rsidRPr="007760AC">
        <w:t>Rule of Law Report, Sweden, pp. 16-17.</w:t>
      </w:r>
    </w:p>
  </w:footnote>
  <w:footnote w:id="153">
    <w:p w14:paraId="54466125" w14:textId="45396A22" w:rsidR="00A24A13" w:rsidRPr="007C09A9" w:rsidRDefault="00A24A13" w:rsidP="00A24A13">
      <w:pPr>
        <w:pStyle w:val="FootnoteText"/>
        <w:ind w:left="0" w:firstLine="0"/>
        <w:rPr>
          <w:lang w:val="en-IE"/>
        </w:rPr>
      </w:pPr>
      <w:r>
        <w:rPr>
          <w:rStyle w:val="FootnoteReference"/>
        </w:rPr>
        <w:footnoteRef/>
      </w:r>
      <w:r>
        <w:rPr>
          <w:rStyle w:val="FootnoteReference"/>
          <w:lang w:val="en-IE"/>
        </w:rPr>
        <w:t xml:space="preserve"> </w:t>
      </w:r>
      <w:r>
        <w:rPr>
          <w:lang w:val="en-IE"/>
        </w:rPr>
        <w:t xml:space="preserve"> </w:t>
      </w:r>
      <w:r w:rsidR="00201F6D">
        <w:rPr>
          <w:lang w:val="en-IE"/>
        </w:rPr>
        <w:t xml:space="preserve"> </w:t>
      </w:r>
      <w:r>
        <w:rPr>
          <w:lang w:val="en-IE"/>
        </w:rPr>
        <w:t xml:space="preserve">Country visit Sweden, Swedish National Human Rights Institution. </w:t>
      </w:r>
    </w:p>
  </w:footnote>
  <w:footnote w:id="154">
    <w:p w14:paraId="2B09A3A1" w14:textId="1B801EAB"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Pr>
          <w:lang w:val="en-IE"/>
        </w:rPr>
        <w:t xml:space="preserve">Swedish </w:t>
      </w:r>
      <w:r w:rsidR="00201F6D">
        <w:rPr>
          <w:lang w:val="en-IE"/>
        </w:rPr>
        <w:t>G</w:t>
      </w:r>
      <w:r>
        <w:rPr>
          <w:lang w:val="en-IE"/>
        </w:rPr>
        <w:t xml:space="preserve">overnment </w:t>
      </w:r>
      <w:r w:rsidRPr="003964DC">
        <w:rPr>
          <w:lang w:val="en-IE"/>
        </w:rPr>
        <w:t xml:space="preserve">(2026), </w:t>
      </w:r>
      <w:r>
        <w:rPr>
          <w:lang w:val="en-IE"/>
        </w:rPr>
        <w:t>written input,</w:t>
      </w:r>
      <w:r w:rsidRPr="003964DC">
        <w:rPr>
          <w:lang w:val="en-IE"/>
        </w:rPr>
        <w:t xml:space="preserve"> p. 11.</w:t>
      </w:r>
    </w:p>
  </w:footnote>
  <w:footnote w:id="155">
    <w:p w14:paraId="2BD73380" w14:textId="1D255579" w:rsidR="00A24A13" w:rsidRPr="003964DC"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Country visit</w:t>
      </w:r>
      <w:r>
        <w:rPr>
          <w:lang w:val="en-IE"/>
        </w:rPr>
        <w:t xml:space="preserve"> Sweden</w:t>
      </w:r>
      <w:r w:rsidRPr="003964DC">
        <w:rPr>
          <w:lang w:val="en-IE"/>
        </w:rPr>
        <w:t>, Parliamentary Ombudsm</w:t>
      </w:r>
      <w:r w:rsidR="008133FB">
        <w:rPr>
          <w:lang w:val="en-IE"/>
        </w:rPr>
        <w:t>a</w:t>
      </w:r>
      <w:r w:rsidRPr="003964DC">
        <w:rPr>
          <w:lang w:val="en-IE"/>
        </w:rPr>
        <w:t xml:space="preserve">n. </w:t>
      </w:r>
    </w:p>
  </w:footnote>
  <w:footnote w:id="156">
    <w:p w14:paraId="79DF916F" w14:textId="3C4CC425" w:rsidR="00A24A13" w:rsidRPr="00D731E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F32703">
        <w:rPr>
          <w:rStyle w:val="CommentReference"/>
          <w:sz w:val="20"/>
          <w:szCs w:val="20"/>
          <w:lang w:val="en-IE"/>
        </w:rPr>
        <w:t>This can be largely attributed to judicial staff shortages and recruitment difficulties, particularly in Northern Sweden, Country visit Sweden, Parliamentary Ombudsm</w:t>
      </w:r>
      <w:r w:rsidR="0063682A">
        <w:rPr>
          <w:rStyle w:val="CommentReference"/>
          <w:sz w:val="20"/>
          <w:szCs w:val="20"/>
          <w:lang w:val="en-IE"/>
        </w:rPr>
        <w:t>a</w:t>
      </w:r>
      <w:r w:rsidRPr="00F32703">
        <w:rPr>
          <w:rStyle w:val="CommentReference"/>
          <w:sz w:val="20"/>
          <w:szCs w:val="20"/>
          <w:lang w:val="en-IE"/>
        </w:rPr>
        <w:t>n.</w:t>
      </w:r>
    </w:p>
  </w:footnote>
  <w:footnote w:id="157">
    <w:p w14:paraId="10DB4AA9" w14:textId="757D2968" w:rsidR="00A24A13" w:rsidRPr="00BD541D" w:rsidRDefault="00A24A13" w:rsidP="00A24A13">
      <w:pPr>
        <w:pStyle w:val="FootnoteText"/>
        <w:rPr>
          <w:lang w:val="en-IE"/>
        </w:rPr>
      </w:pPr>
      <w:r>
        <w:rPr>
          <w:rStyle w:val="FootnoteReference"/>
        </w:rPr>
        <w:footnoteRef/>
      </w:r>
      <w:r>
        <w:t xml:space="preserve"> </w:t>
      </w:r>
      <w:r w:rsidR="00201F6D">
        <w:t xml:space="preserve">  </w:t>
      </w:r>
      <w:r w:rsidRPr="008B2275">
        <w:t>Parliamentary Ombudsm</w:t>
      </w:r>
      <w:r w:rsidR="00201F6D">
        <w:t>a</w:t>
      </w:r>
      <w:r w:rsidRPr="008B2275">
        <w:t>n (202</w:t>
      </w:r>
      <w:r>
        <w:t>5</w:t>
      </w:r>
      <w:r w:rsidRPr="008B2275">
        <w:t>), p. 1</w:t>
      </w:r>
      <w:r>
        <w:t>6</w:t>
      </w:r>
      <w:r w:rsidRPr="008B2275">
        <w:t>.</w:t>
      </w:r>
    </w:p>
  </w:footnote>
  <w:footnote w:id="158">
    <w:p w14:paraId="47CBE845" w14:textId="102E6A8D" w:rsidR="00A24A13" w:rsidRPr="00B232C4" w:rsidRDefault="00A24A13" w:rsidP="00A24A13">
      <w:pPr>
        <w:pStyle w:val="FootnoteText"/>
      </w:pPr>
      <w:r>
        <w:rPr>
          <w:rStyle w:val="FootnoteReference"/>
        </w:rPr>
        <w:footnoteRef/>
      </w:r>
      <w:r w:rsidRPr="00CC69E1">
        <w:rPr>
          <w:rStyle w:val="FootnoteReference"/>
          <w:lang w:val="en-IE"/>
        </w:rPr>
        <w:tab/>
      </w:r>
      <w:r w:rsidR="002B6E53">
        <w:t>Sweden’s</w:t>
      </w:r>
      <w:r w:rsidR="002B6E53" w:rsidRPr="002B6E53">
        <w:t xml:space="preserve"> score is 8</w:t>
      </w:r>
      <w:r w:rsidR="002B6E53">
        <w:t>1</w:t>
      </w:r>
      <w:r w:rsidR="002B6E53" w:rsidRPr="002B6E53">
        <w:t>/100. Ratings by Civicus are on a five-category scale defined as: open, narrowed, obstructed, repressed and closed.</w:t>
      </w:r>
    </w:p>
  </w:footnote>
  <w:footnote w:id="159">
    <w:p w14:paraId="749A85B7" w14:textId="611BA11D" w:rsidR="00A24A13" w:rsidRPr="00D731E3" w:rsidRDefault="00A24A13" w:rsidP="00A24A13">
      <w:pPr>
        <w:pStyle w:val="FootnoteText"/>
        <w:rPr>
          <w:lang w:val="en-IE"/>
        </w:rPr>
      </w:pPr>
      <w:r w:rsidRPr="003964DC">
        <w:rPr>
          <w:rStyle w:val="FootnoteReference"/>
          <w:lang w:val="en-IE"/>
        </w:rPr>
        <w:footnoteRef/>
      </w:r>
      <w:r w:rsidRPr="00CC69E1">
        <w:rPr>
          <w:rStyle w:val="FootnoteReference"/>
          <w:lang w:val="en-IE"/>
        </w:rPr>
        <w:tab/>
      </w:r>
      <w:r w:rsidRPr="003964DC">
        <w:rPr>
          <w:lang w:val="en-IE"/>
        </w:rPr>
        <w:t>These conditions apply to those who apply for state grants. According to this condition, an organisation’s purpose needs to be compatible with the values of a democratic society, and it needs to be democratically organised, respect the ideas of democracy in its activities, including the principles of equality and non-discrimination</w:t>
      </w:r>
      <w:r w:rsidR="00B95A06">
        <w:rPr>
          <w:lang w:val="en-IE"/>
        </w:rPr>
        <w:t xml:space="preserve">, </w:t>
      </w:r>
      <w:r w:rsidR="00B95A06" w:rsidRPr="62975C98">
        <w:rPr>
          <w:lang w:val="en-IE"/>
        </w:rPr>
        <w:t xml:space="preserve">2025 </w:t>
      </w:r>
      <w:r w:rsidR="00B95A06" w:rsidRPr="00195514">
        <w:rPr>
          <w:lang w:val="en-IE"/>
        </w:rPr>
        <w:t>Rule of Law Report, Sweden, p</w:t>
      </w:r>
      <w:r w:rsidR="00B95A06">
        <w:rPr>
          <w:lang w:val="en-IE"/>
        </w:rPr>
        <w:t>p</w:t>
      </w:r>
      <w:r w:rsidR="00B95A06" w:rsidRPr="00195514">
        <w:rPr>
          <w:lang w:val="en-IE"/>
        </w:rPr>
        <w:t>.</w:t>
      </w:r>
      <w:r w:rsidR="00B95A06">
        <w:rPr>
          <w:lang w:val="en-IE"/>
        </w:rPr>
        <w:t xml:space="preserve"> 17 – 18. </w:t>
      </w:r>
    </w:p>
  </w:footnote>
  <w:footnote w:id="160">
    <w:p w14:paraId="6708B7D6" w14:textId="77777777" w:rsidR="00A24A13" w:rsidRPr="003964DC" w:rsidRDefault="00A24A13" w:rsidP="00A24A13">
      <w:pPr>
        <w:pStyle w:val="FootnoteText"/>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sidRPr="003964DC">
        <w:rPr>
          <w:lang w:val="en-IE"/>
        </w:rPr>
        <w:t xml:space="preserve">To date, 45 ordinances of grant-awarding bodies have been amended to implement the democracy condition, </w:t>
      </w:r>
      <w:r>
        <w:rPr>
          <w:lang w:val="en-IE"/>
        </w:rPr>
        <w:t>Swedish Government</w:t>
      </w:r>
      <w:r w:rsidRPr="003964DC">
        <w:rPr>
          <w:lang w:val="en-IE"/>
        </w:rPr>
        <w:t xml:space="preserve"> (2026), </w:t>
      </w:r>
      <w:r>
        <w:rPr>
          <w:lang w:val="en-IE"/>
        </w:rPr>
        <w:t xml:space="preserve">written input, </w:t>
      </w:r>
      <w:r w:rsidRPr="003964DC">
        <w:rPr>
          <w:lang w:val="en-IE"/>
        </w:rPr>
        <w:t>pp. 12-13.</w:t>
      </w:r>
    </w:p>
  </w:footnote>
  <w:footnote w:id="161">
    <w:p w14:paraId="54817E68" w14:textId="56E60697" w:rsidR="00A24A13" w:rsidRPr="003964DC" w:rsidRDefault="00A24A13" w:rsidP="00A24A13">
      <w:pPr>
        <w:pStyle w:val="FootnoteText"/>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sidRPr="003964DC">
        <w:rPr>
          <w:lang w:val="en-IE"/>
        </w:rPr>
        <w:t>Country visit</w:t>
      </w:r>
      <w:r>
        <w:rPr>
          <w:lang w:val="en-IE"/>
        </w:rPr>
        <w:t xml:space="preserve"> Sweden, </w:t>
      </w:r>
      <w:r w:rsidR="00987854">
        <w:rPr>
          <w:lang w:val="en-IE"/>
        </w:rPr>
        <w:t>Swedish Agency for Youth and Civil Society</w:t>
      </w:r>
      <w:r w:rsidR="0084241D">
        <w:rPr>
          <w:lang w:val="en-IE"/>
        </w:rPr>
        <w:t xml:space="preserve"> (MUCF)</w:t>
      </w:r>
      <w:r w:rsidR="00987854">
        <w:rPr>
          <w:lang w:val="en-IE"/>
        </w:rPr>
        <w:t>.</w:t>
      </w:r>
    </w:p>
  </w:footnote>
  <w:footnote w:id="162">
    <w:p w14:paraId="06DB4AAE" w14:textId="145F46CE" w:rsidR="00A24A13" w:rsidRPr="00D731E3" w:rsidRDefault="00A24A13" w:rsidP="00A24A13">
      <w:pPr>
        <w:pStyle w:val="FootnoteText"/>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Pr>
          <w:lang w:val="en-IE"/>
        </w:rPr>
        <w:t>Country visit Sweden, ICJ, Civil Rights Defenders.</w:t>
      </w:r>
    </w:p>
  </w:footnote>
  <w:footnote w:id="163">
    <w:p w14:paraId="25CCA218" w14:textId="7E7A0AEB" w:rsidR="00A24A13" w:rsidRPr="003964DC" w:rsidRDefault="00A24A13" w:rsidP="00A24A13">
      <w:pPr>
        <w:pStyle w:val="FootnoteText"/>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Pr>
          <w:lang w:val="en-IE"/>
        </w:rPr>
        <w:t xml:space="preserve">Swedish Agency for Youth and Civil Society (2026), </w:t>
      </w:r>
      <w:r w:rsidR="006C44A5">
        <w:rPr>
          <w:i/>
          <w:iCs/>
        </w:rPr>
        <w:t>Dialogue on the implementation of democratic conditions</w:t>
      </w:r>
      <w:r w:rsidR="00EC60A7">
        <w:rPr>
          <w:i/>
          <w:iCs/>
          <w:lang w:val="en-IE"/>
        </w:rPr>
        <w:t xml:space="preserve">, </w:t>
      </w:r>
      <w:r w:rsidR="00EC60A7" w:rsidRPr="00F32703">
        <w:rPr>
          <w:lang w:val="en-IE"/>
        </w:rPr>
        <w:t>p. 8</w:t>
      </w:r>
    </w:p>
  </w:footnote>
  <w:footnote w:id="164">
    <w:p w14:paraId="367344FE" w14:textId="77777777" w:rsidR="00A24A13" w:rsidRPr="003964DC" w:rsidRDefault="00A24A13" w:rsidP="00A24A13">
      <w:pPr>
        <w:pStyle w:val="FootnoteText"/>
        <w:tabs>
          <w:tab w:val="left" w:pos="1682"/>
        </w:tabs>
        <w:rPr>
          <w:lang w:val="en-IE"/>
        </w:rPr>
      </w:pPr>
      <w:r w:rsidRPr="003964DC">
        <w:rPr>
          <w:rStyle w:val="FootnoteReference"/>
          <w:lang w:val="en-IE"/>
        </w:rPr>
        <w:footnoteRef/>
      </w:r>
      <w:r w:rsidRPr="003964DC">
        <w:rPr>
          <w:lang w:val="en-IE"/>
        </w:rPr>
        <w:t xml:space="preserve"> </w:t>
      </w:r>
      <w:r w:rsidRPr="00CC69E1">
        <w:rPr>
          <w:rStyle w:val="FootnoteReference"/>
          <w:lang w:val="en-IE"/>
        </w:rPr>
        <w:tab/>
      </w:r>
      <w:r>
        <w:rPr>
          <w:lang w:val="en-IE"/>
        </w:rPr>
        <w:t>Swedish Government</w:t>
      </w:r>
      <w:r w:rsidRPr="003964DC">
        <w:rPr>
          <w:lang w:val="en-IE"/>
        </w:rPr>
        <w:t xml:space="preserve"> (2026), </w:t>
      </w:r>
      <w:r>
        <w:rPr>
          <w:lang w:val="en-IE"/>
        </w:rPr>
        <w:t xml:space="preserve">written input, </w:t>
      </w:r>
      <w:r w:rsidRPr="003964DC">
        <w:rPr>
          <w:lang w:val="en-IE"/>
        </w:rPr>
        <w:t>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4813A" w14:textId="77777777" w:rsidR="00CB2F52" w:rsidRPr="00CB2F52" w:rsidRDefault="00CB2F52" w:rsidP="00CB2F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7D147" w14:textId="77777777" w:rsidR="00CB2F52" w:rsidRPr="00CB2F52" w:rsidRDefault="00CB2F52" w:rsidP="00CB2F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4E7A5" w14:textId="77777777" w:rsidR="00CB2F52" w:rsidRPr="00CB2F52" w:rsidRDefault="00CB2F52" w:rsidP="00CB2F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7532" w14:textId="3A3A80D4" w:rsidR="00A24A13" w:rsidRDefault="00A24A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C73FE" w14:textId="716D08D3" w:rsidR="00A24A13" w:rsidRPr="001E551D" w:rsidRDefault="00A24A1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B75CE" w14:textId="21E71C6F" w:rsidR="00A24A13" w:rsidRDefault="00A2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E14FDC"/>
    <w:multiLevelType w:val="hybridMultilevel"/>
    <w:tmpl w:val="FE72FBD0"/>
    <w:lvl w:ilvl="0" w:tplc="198A4736">
      <w:start w:val="1"/>
      <w:numFmt w:val="bullet"/>
      <w:lvlText w:val=""/>
      <w:lvlJc w:val="left"/>
      <w:pPr>
        <w:ind w:left="720" w:hanging="360"/>
      </w:pPr>
      <w:rPr>
        <w:rFonts w:ascii="Symbol" w:hAnsi="Symbol"/>
      </w:rPr>
    </w:lvl>
    <w:lvl w:ilvl="1" w:tplc="5F605E44">
      <w:start w:val="1"/>
      <w:numFmt w:val="bullet"/>
      <w:lvlText w:val=""/>
      <w:lvlJc w:val="left"/>
      <w:pPr>
        <w:ind w:left="720" w:hanging="360"/>
      </w:pPr>
      <w:rPr>
        <w:rFonts w:ascii="Symbol" w:hAnsi="Symbol"/>
      </w:rPr>
    </w:lvl>
    <w:lvl w:ilvl="2" w:tplc="CDA0E93C">
      <w:start w:val="1"/>
      <w:numFmt w:val="bullet"/>
      <w:lvlText w:val=""/>
      <w:lvlJc w:val="left"/>
      <w:pPr>
        <w:ind w:left="720" w:hanging="360"/>
      </w:pPr>
      <w:rPr>
        <w:rFonts w:ascii="Symbol" w:hAnsi="Symbol"/>
      </w:rPr>
    </w:lvl>
    <w:lvl w:ilvl="3" w:tplc="22EABD5A">
      <w:start w:val="1"/>
      <w:numFmt w:val="bullet"/>
      <w:lvlText w:val=""/>
      <w:lvlJc w:val="left"/>
      <w:pPr>
        <w:ind w:left="720" w:hanging="360"/>
      </w:pPr>
      <w:rPr>
        <w:rFonts w:ascii="Symbol" w:hAnsi="Symbol"/>
      </w:rPr>
    </w:lvl>
    <w:lvl w:ilvl="4" w:tplc="AA4E11D2">
      <w:start w:val="1"/>
      <w:numFmt w:val="bullet"/>
      <w:lvlText w:val=""/>
      <w:lvlJc w:val="left"/>
      <w:pPr>
        <w:ind w:left="720" w:hanging="360"/>
      </w:pPr>
      <w:rPr>
        <w:rFonts w:ascii="Symbol" w:hAnsi="Symbol"/>
      </w:rPr>
    </w:lvl>
    <w:lvl w:ilvl="5" w:tplc="F57C5826">
      <w:start w:val="1"/>
      <w:numFmt w:val="bullet"/>
      <w:lvlText w:val=""/>
      <w:lvlJc w:val="left"/>
      <w:pPr>
        <w:ind w:left="720" w:hanging="360"/>
      </w:pPr>
      <w:rPr>
        <w:rFonts w:ascii="Symbol" w:hAnsi="Symbol"/>
      </w:rPr>
    </w:lvl>
    <w:lvl w:ilvl="6" w:tplc="2DB4B0EA">
      <w:start w:val="1"/>
      <w:numFmt w:val="bullet"/>
      <w:lvlText w:val=""/>
      <w:lvlJc w:val="left"/>
      <w:pPr>
        <w:ind w:left="720" w:hanging="360"/>
      </w:pPr>
      <w:rPr>
        <w:rFonts w:ascii="Symbol" w:hAnsi="Symbol"/>
      </w:rPr>
    </w:lvl>
    <w:lvl w:ilvl="7" w:tplc="96663A1A">
      <w:start w:val="1"/>
      <w:numFmt w:val="bullet"/>
      <w:lvlText w:val=""/>
      <w:lvlJc w:val="left"/>
      <w:pPr>
        <w:ind w:left="720" w:hanging="360"/>
      </w:pPr>
      <w:rPr>
        <w:rFonts w:ascii="Symbol" w:hAnsi="Symbol"/>
      </w:rPr>
    </w:lvl>
    <w:lvl w:ilvl="8" w:tplc="7C541052">
      <w:start w:val="1"/>
      <w:numFmt w:val="bullet"/>
      <w:lvlText w:val=""/>
      <w:lvlJc w:val="left"/>
      <w:pPr>
        <w:ind w:left="720" w:hanging="360"/>
      </w:pPr>
      <w:rPr>
        <w:rFonts w:ascii="Symbol" w:hAnsi="Symbol"/>
      </w:rPr>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892702D"/>
    <w:multiLevelType w:val="multilevel"/>
    <w:tmpl w:val="7306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0872FBF"/>
    <w:multiLevelType w:val="hybridMultilevel"/>
    <w:tmpl w:val="D95E7EE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0EE1999"/>
    <w:multiLevelType w:val="hybridMultilevel"/>
    <w:tmpl w:val="B4165406"/>
    <w:lvl w:ilvl="0" w:tplc="1809000B">
      <w:start w:val="3"/>
      <w:numFmt w:val="bullet"/>
      <w:lvlText w:val=""/>
      <w:lvlJc w:val="left"/>
      <w:pPr>
        <w:ind w:left="720" w:hanging="360"/>
      </w:pPr>
      <w:rPr>
        <w:rFonts w:ascii="Wingdings" w:eastAsia="Times New Roman"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4F353BB"/>
    <w:multiLevelType w:val="multilevel"/>
    <w:tmpl w:val="EE02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89106C"/>
    <w:multiLevelType w:val="hybridMultilevel"/>
    <w:tmpl w:val="1BCE2674"/>
    <w:lvl w:ilvl="0" w:tplc="B428E830">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E90180E"/>
    <w:multiLevelType w:val="hybridMultilevel"/>
    <w:tmpl w:val="BB3A25F6"/>
    <w:lvl w:ilvl="0" w:tplc="B156BB8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EED76EE"/>
    <w:multiLevelType w:val="hybridMultilevel"/>
    <w:tmpl w:val="A036BC22"/>
    <w:lvl w:ilvl="0" w:tplc="18090013">
      <w:start w:val="1"/>
      <w:numFmt w:val="upperRoman"/>
      <w:lvlText w:val="%1."/>
      <w:lvlJc w:val="right"/>
      <w:pPr>
        <w:ind w:left="501"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29"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0" w15:restartNumberingAfterBreak="0">
    <w:nsid w:val="646B2A34"/>
    <w:multiLevelType w:val="hybridMultilevel"/>
    <w:tmpl w:val="20585B08"/>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31"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21C614D"/>
    <w:multiLevelType w:val="hybridMultilevel"/>
    <w:tmpl w:val="8BE8EB4A"/>
    <w:lvl w:ilvl="0" w:tplc="94540380">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5730A03"/>
    <w:multiLevelType w:val="hybridMultilevel"/>
    <w:tmpl w:val="A2028E7E"/>
    <w:lvl w:ilvl="0" w:tplc="09B49C60">
      <w:start w:val="1"/>
      <w:numFmt w:val="bullet"/>
      <w:lvlText w:val=""/>
      <w:lvlJc w:val="left"/>
      <w:pPr>
        <w:ind w:left="720" w:hanging="360"/>
      </w:pPr>
      <w:rPr>
        <w:rFonts w:ascii="Symbol" w:hAnsi="Symbol"/>
      </w:rPr>
    </w:lvl>
    <w:lvl w:ilvl="1" w:tplc="744881AA">
      <w:start w:val="1"/>
      <w:numFmt w:val="bullet"/>
      <w:lvlText w:val=""/>
      <w:lvlJc w:val="left"/>
      <w:pPr>
        <w:ind w:left="720" w:hanging="360"/>
      </w:pPr>
      <w:rPr>
        <w:rFonts w:ascii="Symbol" w:hAnsi="Symbol"/>
      </w:rPr>
    </w:lvl>
    <w:lvl w:ilvl="2" w:tplc="BBA66054">
      <w:start w:val="1"/>
      <w:numFmt w:val="bullet"/>
      <w:lvlText w:val=""/>
      <w:lvlJc w:val="left"/>
      <w:pPr>
        <w:ind w:left="720" w:hanging="360"/>
      </w:pPr>
      <w:rPr>
        <w:rFonts w:ascii="Symbol" w:hAnsi="Symbol"/>
      </w:rPr>
    </w:lvl>
    <w:lvl w:ilvl="3" w:tplc="12C449FE">
      <w:start w:val="1"/>
      <w:numFmt w:val="bullet"/>
      <w:lvlText w:val=""/>
      <w:lvlJc w:val="left"/>
      <w:pPr>
        <w:ind w:left="720" w:hanging="360"/>
      </w:pPr>
      <w:rPr>
        <w:rFonts w:ascii="Symbol" w:hAnsi="Symbol"/>
      </w:rPr>
    </w:lvl>
    <w:lvl w:ilvl="4" w:tplc="05F85DCA">
      <w:start w:val="1"/>
      <w:numFmt w:val="bullet"/>
      <w:lvlText w:val=""/>
      <w:lvlJc w:val="left"/>
      <w:pPr>
        <w:ind w:left="720" w:hanging="360"/>
      </w:pPr>
      <w:rPr>
        <w:rFonts w:ascii="Symbol" w:hAnsi="Symbol"/>
      </w:rPr>
    </w:lvl>
    <w:lvl w:ilvl="5" w:tplc="89201090">
      <w:start w:val="1"/>
      <w:numFmt w:val="bullet"/>
      <w:lvlText w:val=""/>
      <w:lvlJc w:val="left"/>
      <w:pPr>
        <w:ind w:left="720" w:hanging="360"/>
      </w:pPr>
      <w:rPr>
        <w:rFonts w:ascii="Symbol" w:hAnsi="Symbol"/>
      </w:rPr>
    </w:lvl>
    <w:lvl w:ilvl="6" w:tplc="BCB0653A">
      <w:start w:val="1"/>
      <w:numFmt w:val="bullet"/>
      <w:lvlText w:val=""/>
      <w:lvlJc w:val="left"/>
      <w:pPr>
        <w:ind w:left="720" w:hanging="360"/>
      </w:pPr>
      <w:rPr>
        <w:rFonts w:ascii="Symbol" w:hAnsi="Symbol"/>
      </w:rPr>
    </w:lvl>
    <w:lvl w:ilvl="7" w:tplc="C5D40C6A">
      <w:start w:val="1"/>
      <w:numFmt w:val="bullet"/>
      <w:lvlText w:val=""/>
      <w:lvlJc w:val="left"/>
      <w:pPr>
        <w:ind w:left="720" w:hanging="360"/>
      </w:pPr>
      <w:rPr>
        <w:rFonts w:ascii="Symbol" w:hAnsi="Symbol"/>
      </w:rPr>
    </w:lvl>
    <w:lvl w:ilvl="8" w:tplc="A554082A">
      <w:start w:val="1"/>
      <w:numFmt w:val="bullet"/>
      <w:lvlText w:val=""/>
      <w:lvlJc w:val="left"/>
      <w:pPr>
        <w:ind w:left="720" w:hanging="360"/>
      </w:pPr>
      <w:rPr>
        <w:rFonts w:ascii="Symbol" w:hAnsi="Symbol"/>
      </w:rPr>
    </w:lvl>
  </w:abstractNum>
  <w:abstractNum w:abstractNumId="35" w15:restartNumberingAfterBreak="0">
    <w:nsid w:val="773B6026"/>
    <w:multiLevelType w:val="hybridMultilevel"/>
    <w:tmpl w:val="AFB41A58"/>
    <w:lvl w:ilvl="0" w:tplc="ED0220EE">
      <w:start w:val="3"/>
      <w:numFmt w:val="upperRoman"/>
      <w:lvlText w:val="%1&gt;"/>
      <w:lvlJc w:val="left"/>
      <w:pPr>
        <w:ind w:left="861" w:hanging="72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36" w15:restartNumberingAfterBreak="0">
    <w:nsid w:val="794A4DFD"/>
    <w:multiLevelType w:val="multilevel"/>
    <w:tmpl w:val="6232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5E4A91"/>
    <w:multiLevelType w:val="hybridMultilevel"/>
    <w:tmpl w:val="C0E83C8C"/>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8"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9"/>
  </w:num>
  <w:num w:numId="2">
    <w:abstractNumId w:val="12"/>
  </w:num>
  <w:num w:numId="3">
    <w:abstractNumId w:val="11"/>
  </w:num>
  <w:num w:numId="4">
    <w:abstractNumId w:val="38"/>
  </w:num>
  <w:num w:numId="5">
    <w:abstractNumId w:val="23"/>
  </w:num>
  <w:num w:numId="6">
    <w:abstractNumId w:val="18"/>
  </w:num>
  <w:num w:numId="7">
    <w:abstractNumId w:val="10"/>
  </w:num>
  <w:num w:numId="8">
    <w:abstractNumId w:val="6"/>
  </w:num>
  <w:num w:numId="9">
    <w:abstractNumId w:val="4"/>
  </w:num>
  <w:num w:numId="10">
    <w:abstractNumId w:val="3"/>
  </w:num>
  <w:num w:numId="11">
    <w:abstractNumId w:val="21"/>
  </w:num>
  <w:num w:numId="12">
    <w:abstractNumId w:val="8"/>
  </w:num>
  <w:num w:numId="13">
    <w:abstractNumId w:val="2"/>
  </w:num>
  <w:num w:numId="14">
    <w:abstractNumId w:val="31"/>
  </w:num>
  <w:num w:numId="15">
    <w:abstractNumId w:val="26"/>
  </w:num>
  <w:num w:numId="16">
    <w:abstractNumId w:val="15"/>
  </w:num>
  <w:num w:numId="17">
    <w:abstractNumId w:val="9"/>
  </w:num>
  <w:num w:numId="18">
    <w:abstractNumId w:val="14"/>
  </w:num>
  <w:num w:numId="19">
    <w:abstractNumId w:val="0"/>
  </w:num>
  <w:num w:numId="20">
    <w:abstractNumId w:val="13"/>
  </w:num>
  <w:num w:numId="21">
    <w:abstractNumId w:val="7"/>
  </w:num>
  <w:num w:numId="22">
    <w:abstractNumId w:val="16"/>
  </w:num>
  <w:num w:numId="23">
    <w:abstractNumId w:val="32"/>
  </w:num>
  <w:num w:numId="24">
    <w:abstractNumId w:val="24"/>
  </w:num>
  <w:num w:numId="25">
    <w:abstractNumId w:val="29"/>
  </w:num>
  <w:num w:numId="26">
    <w:abstractNumId w:val="1"/>
  </w:num>
  <w:num w:numId="27">
    <w:abstractNumId w:val="34"/>
  </w:num>
  <w:num w:numId="28">
    <w:abstractNumId w:val="37"/>
  </w:num>
  <w:num w:numId="29">
    <w:abstractNumId w:val="30"/>
  </w:num>
  <w:num w:numId="30">
    <w:abstractNumId w:val="19"/>
  </w:num>
  <w:num w:numId="31">
    <w:abstractNumId w:val="28"/>
  </w:num>
  <w:num w:numId="32">
    <w:abstractNumId w:val="35"/>
  </w:num>
  <w:num w:numId="33">
    <w:abstractNumId w:val="20"/>
  </w:num>
  <w:num w:numId="34">
    <w:abstractNumId w:val="25"/>
  </w:num>
  <w:num w:numId="35">
    <w:abstractNumId w:val="5"/>
  </w:num>
  <w:num w:numId="36">
    <w:abstractNumId w:val="27"/>
  </w:num>
  <w:num w:numId="37">
    <w:abstractNumId w:val="36"/>
  </w:num>
  <w:num w:numId="38">
    <w:abstractNumId w:val="17"/>
  </w:num>
  <w:num w:numId="39">
    <w:abstractNumId w:val="22"/>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DABB6681-685F-4FFE-B952-E3E5A0FAB86A"/>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Sweden"/>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350"/>
    <w:rsid w:val="0000377E"/>
    <w:rsid w:val="00010844"/>
    <w:rsid w:val="00011207"/>
    <w:rsid w:val="0001388E"/>
    <w:rsid w:val="00013AB7"/>
    <w:rsid w:val="000147BE"/>
    <w:rsid w:val="000165F8"/>
    <w:rsid w:val="00016C17"/>
    <w:rsid w:val="00017618"/>
    <w:rsid w:val="00020C11"/>
    <w:rsid w:val="00020F5B"/>
    <w:rsid w:val="000219A6"/>
    <w:rsid w:val="0002356F"/>
    <w:rsid w:val="00025B57"/>
    <w:rsid w:val="00027184"/>
    <w:rsid w:val="00027F15"/>
    <w:rsid w:val="00031BCE"/>
    <w:rsid w:val="00031DB8"/>
    <w:rsid w:val="000320DE"/>
    <w:rsid w:val="00033B84"/>
    <w:rsid w:val="000343C4"/>
    <w:rsid w:val="000363E3"/>
    <w:rsid w:val="00037372"/>
    <w:rsid w:val="00040A19"/>
    <w:rsid w:val="00045898"/>
    <w:rsid w:val="00045EA6"/>
    <w:rsid w:val="00045F6D"/>
    <w:rsid w:val="000501E3"/>
    <w:rsid w:val="00054119"/>
    <w:rsid w:val="0005442D"/>
    <w:rsid w:val="000556F5"/>
    <w:rsid w:val="00055C82"/>
    <w:rsid w:val="0005670D"/>
    <w:rsid w:val="0006215F"/>
    <w:rsid w:val="000630B2"/>
    <w:rsid w:val="0006325A"/>
    <w:rsid w:val="00063F26"/>
    <w:rsid w:val="000640C3"/>
    <w:rsid w:val="00064AD2"/>
    <w:rsid w:val="000721EA"/>
    <w:rsid w:val="000727C7"/>
    <w:rsid w:val="0007568E"/>
    <w:rsid w:val="00077FDA"/>
    <w:rsid w:val="00081709"/>
    <w:rsid w:val="00081AE1"/>
    <w:rsid w:val="0008210C"/>
    <w:rsid w:val="000830E3"/>
    <w:rsid w:val="0008344C"/>
    <w:rsid w:val="00084EBD"/>
    <w:rsid w:val="00085314"/>
    <w:rsid w:val="00085966"/>
    <w:rsid w:val="0008629F"/>
    <w:rsid w:val="000875DA"/>
    <w:rsid w:val="00092592"/>
    <w:rsid w:val="0009470A"/>
    <w:rsid w:val="00097D25"/>
    <w:rsid w:val="000A0F13"/>
    <w:rsid w:val="000A0F2F"/>
    <w:rsid w:val="000A163C"/>
    <w:rsid w:val="000A28A1"/>
    <w:rsid w:val="000A41BC"/>
    <w:rsid w:val="000A423E"/>
    <w:rsid w:val="000A4A26"/>
    <w:rsid w:val="000A57C5"/>
    <w:rsid w:val="000A689D"/>
    <w:rsid w:val="000A71EB"/>
    <w:rsid w:val="000B3D26"/>
    <w:rsid w:val="000B544F"/>
    <w:rsid w:val="000B6D8F"/>
    <w:rsid w:val="000B715C"/>
    <w:rsid w:val="000B7BF7"/>
    <w:rsid w:val="000C21B5"/>
    <w:rsid w:val="000C3157"/>
    <w:rsid w:val="000C4FA8"/>
    <w:rsid w:val="000C5963"/>
    <w:rsid w:val="000C5CDC"/>
    <w:rsid w:val="000C624C"/>
    <w:rsid w:val="000C7221"/>
    <w:rsid w:val="000D31FA"/>
    <w:rsid w:val="000D3F33"/>
    <w:rsid w:val="000D674E"/>
    <w:rsid w:val="000D6D11"/>
    <w:rsid w:val="000D7E50"/>
    <w:rsid w:val="000E1C3E"/>
    <w:rsid w:val="000E3591"/>
    <w:rsid w:val="000E41B5"/>
    <w:rsid w:val="000E44F3"/>
    <w:rsid w:val="000E45A4"/>
    <w:rsid w:val="000E5037"/>
    <w:rsid w:val="000E6291"/>
    <w:rsid w:val="000F0957"/>
    <w:rsid w:val="000F096A"/>
    <w:rsid w:val="000F11E1"/>
    <w:rsid w:val="000F1215"/>
    <w:rsid w:val="000F170C"/>
    <w:rsid w:val="000F17A2"/>
    <w:rsid w:val="000F228B"/>
    <w:rsid w:val="000F22FB"/>
    <w:rsid w:val="000F2546"/>
    <w:rsid w:val="000F4243"/>
    <w:rsid w:val="000F5160"/>
    <w:rsid w:val="000F55F5"/>
    <w:rsid w:val="000F6314"/>
    <w:rsid w:val="000F71B4"/>
    <w:rsid w:val="001004EA"/>
    <w:rsid w:val="00101251"/>
    <w:rsid w:val="00102058"/>
    <w:rsid w:val="00102F9E"/>
    <w:rsid w:val="00104784"/>
    <w:rsid w:val="00105277"/>
    <w:rsid w:val="001073A9"/>
    <w:rsid w:val="00114B85"/>
    <w:rsid w:val="00115114"/>
    <w:rsid w:val="0011660D"/>
    <w:rsid w:val="00121580"/>
    <w:rsid w:val="0012606C"/>
    <w:rsid w:val="001270DD"/>
    <w:rsid w:val="00130E4E"/>
    <w:rsid w:val="00132333"/>
    <w:rsid w:val="0013233D"/>
    <w:rsid w:val="00133CBD"/>
    <w:rsid w:val="00133CC4"/>
    <w:rsid w:val="00135962"/>
    <w:rsid w:val="001363A6"/>
    <w:rsid w:val="00136D95"/>
    <w:rsid w:val="00140243"/>
    <w:rsid w:val="001418DB"/>
    <w:rsid w:val="0014247F"/>
    <w:rsid w:val="0014269D"/>
    <w:rsid w:val="00143594"/>
    <w:rsid w:val="001436E4"/>
    <w:rsid w:val="00143A78"/>
    <w:rsid w:val="00143ACC"/>
    <w:rsid w:val="00143CFE"/>
    <w:rsid w:val="00144305"/>
    <w:rsid w:val="00144884"/>
    <w:rsid w:val="00145474"/>
    <w:rsid w:val="00151375"/>
    <w:rsid w:val="00151475"/>
    <w:rsid w:val="00152E38"/>
    <w:rsid w:val="00153A5C"/>
    <w:rsid w:val="00154A40"/>
    <w:rsid w:val="00154EB8"/>
    <w:rsid w:val="0015516C"/>
    <w:rsid w:val="00156D76"/>
    <w:rsid w:val="001617E5"/>
    <w:rsid w:val="00162226"/>
    <w:rsid w:val="0016276F"/>
    <w:rsid w:val="00163185"/>
    <w:rsid w:val="001638FF"/>
    <w:rsid w:val="00163ECE"/>
    <w:rsid w:val="00167CFF"/>
    <w:rsid w:val="001709DE"/>
    <w:rsid w:val="00170B9C"/>
    <w:rsid w:val="00170C28"/>
    <w:rsid w:val="001716CD"/>
    <w:rsid w:val="00172718"/>
    <w:rsid w:val="001778BE"/>
    <w:rsid w:val="00180C84"/>
    <w:rsid w:val="0018191C"/>
    <w:rsid w:val="00182B52"/>
    <w:rsid w:val="001832FC"/>
    <w:rsid w:val="00183A89"/>
    <w:rsid w:val="00184259"/>
    <w:rsid w:val="0018524A"/>
    <w:rsid w:val="001913DE"/>
    <w:rsid w:val="00192495"/>
    <w:rsid w:val="00196425"/>
    <w:rsid w:val="001A2885"/>
    <w:rsid w:val="001A404C"/>
    <w:rsid w:val="001A5B2C"/>
    <w:rsid w:val="001A5D6A"/>
    <w:rsid w:val="001B0641"/>
    <w:rsid w:val="001B2E2A"/>
    <w:rsid w:val="001B3BDD"/>
    <w:rsid w:val="001B3C1A"/>
    <w:rsid w:val="001B3FCE"/>
    <w:rsid w:val="001C04FF"/>
    <w:rsid w:val="001C1CB7"/>
    <w:rsid w:val="001C49F6"/>
    <w:rsid w:val="001C574A"/>
    <w:rsid w:val="001C6131"/>
    <w:rsid w:val="001C6AAC"/>
    <w:rsid w:val="001D0CBA"/>
    <w:rsid w:val="001D2694"/>
    <w:rsid w:val="001D671B"/>
    <w:rsid w:val="001D6F9D"/>
    <w:rsid w:val="001E0B51"/>
    <w:rsid w:val="001E3F7A"/>
    <w:rsid w:val="001F1D2E"/>
    <w:rsid w:val="001F41CC"/>
    <w:rsid w:val="001F4EBF"/>
    <w:rsid w:val="001F7224"/>
    <w:rsid w:val="002008CB"/>
    <w:rsid w:val="00200929"/>
    <w:rsid w:val="00201F6D"/>
    <w:rsid w:val="00202F86"/>
    <w:rsid w:val="002039F8"/>
    <w:rsid w:val="0020581D"/>
    <w:rsid w:val="00206891"/>
    <w:rsid w:val="00211142"/>
    <w:rsid w:val="00211E87"/>
    <w:rsid w:val="00213D5B"/>
    <w:rsid w:val="00214B7D"/>
    <w:rsid w:val="0021532A"/>
    <w:rsid w:val="00215CED"/>
    <w:rsid w:val="002165D0"/>
    <w:rsid w:val="00220263"/>
    <w:rsid w:val="0022236A"/>
    <w:rsid w:val="00223AB8"/>
    <w:rsid w:val="002262A1"/>
    <w:rsid w:val="00226472"/>
    <w:rsid w:val="00230B73"/>
    <w:rsid w:val="00231427"/>
    <w:rsid w:val="0023184A"/>
    <w:rsid w:val="00234545"/>
    <w:rsid w:val="00234C5B"/>
    <w:rsid w:val="002406E6"/>
    <w:rsid w:val="00240A4D"/>
    <w:rsid w:val="0024147E"/>
    <w:rsid w:val="00241891"/>
    <w:rsid w:val="00244B16"/>
    <w:rsid w:val="00245A84"/>
    <w:rsid w:val="00245F9F"/>
    <w:rsid w:val="00247898"/>
    <w:rsid w:val="00250023"/>
    <w:rsid w:val="002508E7"/>
    <w:rsid w:val="002526D4"/>
    <w:rsid w:val="00254A06"/>
    <w:rsid w:val="00257187"/>
    <w:rsid w:val="002606B9"/>
    <w:rsid w:val="00263CB1"/>
    <w:rsid w:val="0026676D"/>
    <w:rsid w:val="00266DAF"/>
    <w:rsid w:val="00267283"/>
    <w:rsid w:val="0027625C"/>
    <w:rsid w:val="00277EA1"/>
    <w:rsid w:val="002807F7"/>
    <w:rsid w:val="00284789"/>
    <w:rsid w:val="0028575F"/>
    <w:rsid w:val="002859F3"/>
    <w:rsid w:val="002905D8"/>
    <w:rsid w:val="00291FB6"/>
    <w:rsid w:val="0029556C"/>
    <w:rsid w:val="00295BBA"/>
    <w:rsid w:val="00295C96"/>
    <w:rsid w:val="0029623B"/>
    <w:rsid w:val="00296AB3"/>
    <w:rsid w:val="0029736D"/>
    <w:rsid w:val="002978C2"/>
    <w:rsid w:val="00297CF5"/>
    <w:rsid w:val="002A04BB"/>
    <w:rsid w:val="002A05F1"/>
    <w:rsid w:val="002A0BFE"/>
    <w:rsid w:val="002A0DCE"/>
    <w:rsid w:val="002A1CA2"/>
    <w:rsid w:val="002A4132"/>
    <w:rsid w:val="002A4F4D"/>
    <w:rsid w:val="002A5707"/>
    <w:rsid w:val="002B1EB1"/>
    <w:rsid w:val="002B2CDF"/>
    <w:rsid w:val="002B4364"/>
    <w:rsid w:val="002B5886"/>
    <w:rsid w:val="002B5F41"/>
    <w:rsid w:val="002B6E53"/>
    <w:rsid w:val="002B7DF1"/>
    <w:rsid w:val="002B7E63"/>
    <w:rsid w:val="002C00BF"/>
    <w:rsid w:val="002C0F25"/>
    <w:rsid w:val="002C2921"/>
    <w:rsid w:val="002C2A26"/>
    <w:rsid w:val="002C3471"/>
    <w:rsid w:val="002C650A"/>
    <w:rsid w:val="002C6B2C"/>
    <w:rsid w:val="002C786C"/>
    <w:rsid w:val="002C7BAC"/>
    <w:rsid w:val="002D2390"/>
    <w:rsid w:val="002D4CA1"/>
    <w:rsid w:val="002D5D7E"/>
    <w:rsid w:val="002D730A"/>
    <w:rsid w:val="002E0448"/>
    <w:rsid w:val="002E09D3"/>
    <w:rsid w:val="002E3235"/>
    <w:rsid w:val="002E4184"/>
    <w:rsid w:val="002E463B"/>
    <w:rsid w:val="002E5307"/>
    <w:rsid w:val="002E5321"/>
    <w:rsid w:val="002E5B55"/>
    <w:rsid w:val="002E7F65"/>
    <w:rsid w:val="002F333F"/>
    <w:rsid w:val="002F47D0"/>
    <w:rsid w:val="002F4AB4"/>
    <w:rsid w:val="002F4ADC"/>
    <w:rsid w:val="003005A6"/>
    <w:rsid w:val="00300952"/>
    <w:rsid w:val="00300B00"/>
    <w:rsid w:val="00300EDC"/>
    <w:rsid w:val="00303B81"/>
    <w:rsid w:val="00305004"/>
    <w:rsid w:val="0030502B"/>
    <w:rsid w:val="00305B35"/>
    <w:rsid w:val="003075C0"/>
    <w:rsid w:val="0030784B"/>
    <w:rsid w:val="00307E49"/>
    <w:rsid w:val="003159FB"/>
    <w:rsid w:val="00315C24"/>
    <w:rsid w:val="00316106"/>
    <w:rsid w:val="00316501"/>
    <w:rsid w:val="00316982"/>
    <w:rsid w:val="003173E3"/>
    <w:rsid w:val="00317559"/>
    <w:rsid w:val="003225E4"/>
    <w:rsid w:val="00322D67"/>
    <w:rsid w:val="00324E55"/>
    <w:rsid w:val="00325F9B"/>
    <w:rsid w:val="00327691"/>
    <w:rsid w:val="00330620"/>
    <w:rsid w:val="00332FFA"/>
    <w:rsid w:val="00333936"/>
    <w:rsid w:val="00333B2D"/>
    <w:rsid w:val="003350FC"/>
    <w:rsid w:val="00335D0D"/>
    <w:rsid w:val="00340195"/>
    <w:rsid w:val="003459CB"/>
    <w:rsid w:val="003461A9"/>
    <w:rsid w:val="003506D2"/>
    <w:rsid w:val="00350B03"/>
    <w:rsid w:val="00351AB9"/>
    <w:rsid w:val="003526AF"/>
    <w:rsid w:val="00353046"/>
    <w:rsid w:val="0035411C"/>
    <w:rsid w:val="00356A06"/>
    <w:rsid w:val="00356ECA"/>
    <w:rsid w:val="00357967"/>
    <w:rsid w:val="00360938"/>
    <w:rsid w:val="00360D8F"/>
    <w:rsid w:val="00366226"/>
    <w:rsid w:val="00375643"/>
    <w:rsid w:val="00377948"/>
    <w:rsid w:val="0038140F"/>
    <w:rsid w:val="003835B8"/>
    <w:rsid w:val="00384835"/>
    <w:rsid w:val="0038499D"/>
    <w:rsid w:val="00385740"/>
    <w:rsid w:val="003877AE"/>
    <w:rsid w:val="003918B1"/>
    <w:rsid w:val="00393B69"/>
    <w:rsid w:val="003947E1"/>
    <w:rsid w:val="0039526C"/>
    <w:rsid w:val="00396019"/>
    <w:rsid w:val="003A30B3"/>
    <w:rsid w:val="003A469A"/>
    <w:rsid w:val="003A50E2"/>
    <w:rsid w:val="003A613E"/>
    <w:rsid w:val="003A6316"/>
    <w:rsid w:val="003A6F38"/>
    <w:rsid w:val="003B0E30"/>
    <w:rsid w:val="003B1F55"/>
    <w:rsid w:val="003B2B63"/>
    <w:rsid w:val="003B40A2"/>
    <w:rsid w:val="003B5E18"/>
    <w:rsid w:val="003C01CB"/>
    <w:rsid w:val="003C07B0"/>
    <w:rsid w:val="003C0F85"/>
    <w:rsid w:val="003C1DA0"/>
    <w:rsid w:val="003C1EA0"/>
    <w:rsid w:val="003C26BF"/>
    <w:rsid w:val="003C33D9"/>
    <w:rsid w:val="003C384E"/>
    <w:rsid w:val="003C3896"/>
    <w:rsid w:val="003C4A8C"/>
    <w:rsid w:val="003C5080"/>
    <w:rsid w:val="003C68CE"/>
    <w:rsid w:val="003C6BFB"/>
    <w:rsid w:val="003D0854"/>
    <w:rsid w:val="003D3A19"/>
    <w:rsid w:val="003D425F"/>
    <w:rsid w:val="003D45E4"/>
    <w:rsid w:val="003D6176"/>
    <w:rsid w:val="003D7B59"/>
    <w:rsid w:val="003E0299"/>
    <w:rsid w:val="003E0F3E"/>
    <w:rsid w:val="003E2A04"/>
    <w:rsid w:val="003E6F69"/>
    <w:rsid w:val="003F0EE8"/>
    <w:rsid w:val="003F108B"/>
    <w:rsid w:val="003F1AB3"/>
    <w:rsid w:val="003F5F43"/>
    <w:rsid w:val="003F6FDD"/>
    <w:rsid w:val="003F71AB"/>
    <w:rsid w:val="00402319"/>
    <w:rsid w:val="004026F5"/>
    <w:rsid w:val="00402796"/>
    <w:rsid w:val="004031D2"/>
    <w:rsid w:val="0040456F"/>
    <w:rsid w:val="004057F5"/>
    <w:rsid w:val="00405FBA"/>
    <w:rsid w:val="00406FCD"/>
    <w:rsid w:val="0040737D"/>
    <w:rsid w:val="00410A58"/>
    <w:rsid w:val="00411B90"/>
    <w:rsid w:val="004137B0"/>
    <w:rsid w:val="00414509"/>
    <w:rsid w:val="0041494F"/>
    <w:rsid w:val="0041609A"/>
    <w:rsid w:val="00417916"/>
    <w:rsid w:val="004203F8"/>
    <w:rsid w:val="004204D4"/>
    <w:rsid w:val="00423788"/>
    <w:rsid w:val="00423F4A"/>
    <w:rsid w:val="0042402B"/>
    <w:rsid w:val="00425190"/>
    <w:rsid w:val="00427CCE"/>
    <w:rsid w:val="00430122"/>
    <w:rsid w:val="00430400"/>
    <w:rsid w:val="00431183"/>
    <w:rsid w:val="004313C0"/>
    <w:rsid w:val="00431C61"/>
    <w:rsid w:val="00432FC4"/>
    <w:rsid w:val="0043453E"/>
    <w:rsid w:val="004351CD"/>
    <w:rsid w:val="004400B8"/>
    <w:rsid w:val="00441F66"/>
    <w:rsid w:val="00442562"/>
    <w:rsid w:val="00442A8E"/>
    <w:rsid w:val="00442CEF"/>
    <w:rsid w:val="004446C3"/>
    <w:rsid w:val="004446EF"/>
    <w:rsid w:val="00444F13"/>
    <w:rsid w:val="00450B1E"/>
    <w:rsid w:val="00450E01"/>
    <w:rsid w:val="00453593"/>
    <w:rsid w:val="00454C13"/>
    <w:rsid w:val="004607CF"/>
    <w:rsid w:val="00460A99"/>
    <w:rsid w:val="00460E89"/>
    <w:rsid w:val="00462D04"/>
    <w:rsid w:val="00463A5B"/>
    <w:rsid w:val="00464282"/>
    <w:rsid w:val="004646AC"/>
    <w:rsid w:val="00465833"/>
    <w:rsid w:val="00465ED7"/>
    <w:rsid w:val="004701DF"/>
    <w:rsid w:val="004706D3"/>
    <w:rsid w:val="00470E33"/>
    <w:rsid w:val="004752E1"/>
    <w:rsid w:val="004769FB"/>
    <w:rsid w:val="00481E2A"/>
    <w:rsid w:val="0048239A"/>
    <w:rsid w:val="004835F3"/>
    <w:rsid w:val="004841C3"/>
    <w:rsid w:val="0048557B"/>
    <w:rsid w:val="004903EB"/>
    <w:rsid w:val="004919B7"/>
    <w:rsid w:val="00495113"/>
    <w:rsid w:val="004A2072"/>
    <w:rsid w:val="004A2750"/>
    <w:rsid w:val="004A35EB"/>
    <w:rsid w:val="004A79B3"/>
    <w:rsid w:val="004A7AC9"/>
    <w:rsid w:val="004B0111"/>
    <w:rsid w:val="004B10AC"/>
    <w:rsid w:val="004B21CD"/>
    <w:rsid w:val="004B4C59"/>
    <w:rsid w:val="004C0A6B"/>
    <w:rsid w:val="004C1CFE"/>
    <w:rsid w:val="004C241F"/>
    <w:rsid w:val="004C42FB"/>
    <w:rsid w:val="004C5F4D"/>
    <w:rsid w:val="004C7F26"/>
    <w:rsid w:val="004D3196"/>
    <w:rsid w:val="004D722C"/>
    <w:rsid w:val="004E0655"/>
    <w:rsid w:val="004E0ED6"/>
    <w:rsid w:val="004E11EA"/>
    <w:rsid w:val="004E163C"/>
    <w:rsid w:val="004E1B4F"/>
    <w:rsid w:val="004E3577"/>
    <w:rsid w:val="004E4A74"/>
    <w:rsid w:val="004E5CF5"/>
    <w:rsid w:val="004E6570"/>
    <w:rsid w:val="004E6E39"/>
    <w:rsid w:val="004F0A66"/>
    <w:rsid w:val="004F1662"/>
    <w:rsid w:val="004F1BE4"/>
    <w:rsid w:val="004F2116"/>
    <w:rsid w:val="004F3951"/>
    <w:rsid w:val="004F3EFC"/>
    <w:rsid w:val="004F418B"/>
    <w:rsid w:val="004F4AEC"/>
    <w:rsid w:val="004F51D0"/>
    <w:rsid w:val="004F5429"/>
    <w:rsid w:val="0050077F"/>
    <w:rsid w:val="00504968"/>
    <w:rsid w:val="005055A7"/>
    <w:rsid w:val="0050569F"/>
    <w:rsid w:val="005072E2"/>
    <w:rsid w:val="00507A94"/>
    <w:rsid w:val="00510806"/>
    <w:rsid w:val="00510F0D"/>
    <w:rsid w:val="0051129A"/>
    <w:rsid w:val="005117A8"/>
    <w:rsid w:val="00513CBF"/>
    <w:rsid w:val="00513E0F"/>
    <w:rsid w:val="00515AD5"/>
    <w:rsid w:val="00517C75"/>
    <w:rsid w:val="00517E7C"/>
    <w:rsid w:val="005215A6"/>
    <w:rsid w:val="00523E2B"/>
    <w:rsid w:val="00524F0D"/>
    <w:rsid w:val="00525C88"/>
    <w:rsid w:val="005344EE"/>
    <w:rsid w:val="0053511D"/>
    <w:rsid w:val="0053543C"/>
    <w:rsid w:val="00535D66"/>
    <w:rsid w:val="005362F8"/>
    <w:rsid w:val="0053720C"/>
    <w:rsid w:val="0053796E"/>
    <w:rsid w:val="00537B8C"/>
    <w:rsid w:val="00542502"/>
    <w:rsid w:val="005429A3"/>
    <w:rsid w:val="00542CE4"/>
    <w:rsid w:val="0054375D"/>
    <w:rsid w:val="00544E35"/>
    <w:rsid w:val="005456F7"/>
    <w:rsid w:val="00547E2B"/>
    <w:rsid w:val="00552424"/>
    <w:rsid w:val="00552C6A"/>
    <w:rsid w:val="00557A12"/>
    <w:rsid w:val="005624E7"/>
    <w:rsid w:val="00562C33"/>
    <w:rsid w:val="00562E10"/>
    <w:rsid w:val="0056306C"/>
    <w:rsid w:val="0057236F"/>
    <w:rsid w:val="00574BC4"/>
    <w:rsid w:val="0057520F"/>
    <w:rsid w:val="005752AC"/>
    <w:rsid w:val="00575474"/>
    <w:rsid w:val="0057564B"/>
    <w:rsid w:val="00576BAF"/>
    <w:rsid w:val="00582D5A"/>
    <w:rsid w:val="00583E56"/>
    <w:rsid w:val="005841EB"/>
    <w:rsid w:val="0059035D"/>
    <w:rsid w:val="005910AD"/>
    <w:rsid w:val="005934D3"/>
    <w:rsid w:val="0059357E"/>
    <w:rsid w:val="00593A46"/>
    <w:rsid w:val="00595A7C"/>
    <w:rsid w:val="00595E38"/>
    <w:rsid w:val="005A0F02"/>
    <w:rsid w:val="005A1C71"/>
    <w:rsid w:val="005A259C"/>
    <w:rsid w:val="005A2F86"/>
    <w:rsid w:val="005A3739"/>
    <w:rsid w:val="005A39A2"/>
    <w:rsid w:val="005A507B"/>
    <w:rsid w:val="005A56F9"/>
    <w:rsid w:val="005A6491"/>
    <w:rsid w:val="005A64BD"/>
    <w:rsid w:val="005A6FDF"/>
    <w:rsid w:val="005A7149"/>
    <w:rsid w:val="005A7A98"/>
    <w:rsid w:val="005B0896"/>
    <w:rsid w:val="005B3308"/>
    <w:rsid w:val="005B3D90"/>
    <w:rsid w:val="005C0407"/>
    <w:rsid w:val="005C041F"/>
    <w:rsid w:val="005C0E08"/>
    <w:rsid w:val="005C20EF"/>
    <w:rsid w:val="005C49CA"/>
    <w:rsid w:val="005C7393"/>
    <w:rsid w:val="005C7579"/>
    <w:rsid w:val="005C7921"/>
    <w:rsid w:val="005C7A07"/>
    <w:rsid w:val="005D0546"/>
    <w:rsid w:val="005D0850"/>
    <w:rsid w:val="005D2C27"/>
    <w:rsid w:val="005D39FD"/>
    <w:rsid w:val="005D3F6B"/>
    <w:rsid w:val="005D3FB4"/>
    <w:rsid w:val="005D4089"/>
    <w:rsid w:val="005D5018"/>
    <w:rsid w:val="005D517B"/>
    <w:rsid w:val="005E0C8C"/>
    <w:rsid w:val="005E225F"/>
    <w:rsid w:val="005E2385"/>
    <w:rsid w:val="005E3C4A"/>
    <w:rsid w:val="005E4696"/>
    <w:rsid w:val="005E5866"/>
    <w:rsid w:val="005E7AC0"/>
    <w:rsid w:val="005F0AB4"/>
    <w:rsid w:val="005F0DD0"/>
    <w:rsid w:val="005F2628"/>
    <w:rsid w:val="005F352C"/>
    <w:rsid w:val="005F3706"/>
    <w:rsid w:val="00600787"/>
    <w:rsid w:val="00604330"/>
    <w:rsid w:val="00604B9A"/>
    <w:rsid w:val="00605B89"/>
    <w:rsid w:val="00610187"/>
    <w:rsid w:val="0061042F"/>
    <w:rsid w:val="00620011"/>
    <w:rsid w:val="00620C1A"/>
    <w:rsid w:val="00623BEF"/>
    <w:rsid w:val="006242EA"/>
    <w:rsid w:val="00626616"/>
    <w:rsid w:val="006309BC"/>
    <w:rsid w:val="006335CC"/>
    <w:rsid w:val="0063682A"/>
    <w:rsid w:val="0063692F"/>
    <w:rsid w:val="0063705A"/>
    <w:rsid w:val="00640004"/>
    <w:rsid w:val="00640D4C"/>
    <w:rsid w:val="00641192"/>
    <w:rsid w:val="0064469D"/>
    <w:rsid w:val="00644FA6"/>
    <w:rsid w:val="00645829"/>
    <w:rsid w:val="00646017"/>
    <w:rsid w:val="00651093"/>
    <w:rsid w:val="0065337F"/>
    <w:rsid w:val="006558EC"/>
    <w:rsid w:val="00660316"/>
    <w:rsid w:val="00661D38"/>
    <w:rsid w:val="00663CB4"/>
    <w:rsid w:val="00665CEB"/>
    <w:rsid w:val="00671F6A"/>
    <w:rsid w:val="006720DE"/>
    <w:rsid w:val="0067273D"/>
    <w:rsid w:val="0067275F"/>
    <w:rsid w:val="00672A5B"/>
    <w:rsid w:val="00674253"/>
    <w:rsid w:val="00677AF7"/>
    <w:rsid w:val="00680173"/>
    <w:rsid w:val="00681535"/>
    <w:rsid w:val="006831CD"/>
    <w:rsid w:val="00690D9E"/>
    <w:rsid w:val="00692550"/>
    <w:rsid w:val="00694A20"/>
    <w:rsid w:val="00694B25"/>
    <w:rsid w:val="00697FCC"/>
    <w:rsid w:val="006A2431"/>
    <w:rsid w:val="006A297B"/>
    <w:rsid w:val="006A3E6E"/>
    <w:rsid w:val="006A4667"/>
    <w:rsid w:val="006A5D93"/>
    <w:rsid w:val="006A5F97"/>
    <w:rsid w:val="006A6578"/>
    <w:rsid w:val="006B0922"/>
    <w:rsid w:val="006B14A5"/>
    <w:rsid w:val="006B19B6"/>
    <w:rsid w:val="006B2655"/>
    <w:rsid w:val="006B4681"/>
    <w:rsid w:val="006C400D"/>
    <w:rsid w:val="006C44A5"/>
    <w:rsid w:val="006C4C31"/>
    <w:rsid w:val="006C4ED6"/>
    <w:rsid w:val="006C535D"/>
    <w:rsid w:val="006C5A28"/>
    <w:rsid w:val="006C7A48"/>
    <w:rsid w:val="006D00D7"/>
    <w:rsid w:val="006D0731"/>
    <w:rsid w:val="006D09CD"/>
    <w:rsid w:val="006D0B5D"/>
    <w:rsid w:val="006D3268"/>
    <w:rsid w:val="006D329E"/>
    <w:rsid w:val="006D57B6"/>
    <w:rsid w:val="006D68D6"/>
    <w:rsid w:val="006E77CC"/>
    <w:rsid w:val="006E7C58"/>
    <w:rsid w:val="006F07C3"/>
    <w:rsid w:val="006F4CB7"/>
    <w:rsid w:val="006F6B88"/>
    <w:rsid w:val="006F7818"/>
    <w:rsid w:val="006F7FFA"/>
    <w:rsid w:val="007006C0"/>
    <w:rsid w:val="00702355"/>
    <w:rsid w:val="00703172"/>
    <w:rsid w:val="00703CEE"/>
    <w:rsid w:val="00703F8C"/>
    <w:rsid w:val="00705B8F"/>
    <w:rsid w:val="00706522"/>
    <w:rsid w:val="007066F3"/>
    <w:rsid w:val="0070692A"/>
    <w:rsid w:val="007069C9"/>
    <w:rsid w:val="00706F63"/>
    <w:rsid w:val="007071B2"/>
    <w:rsid w:val="00710425"/>
    <w:rsid w:val="00711D28"/>
    <w:rsid w:val="0071340B"/>
    <w:rsid w:val="00715E27"/>
    <w:rsid w:val="007169A9"/>
    <w:rsid w:val="00716A08"/>
    <w:rsid w:val="007201CF"/>
    <w:rsid w:val="007231D4"/>
    <w:rsid w:val="007239B7"/>
    <w:rsid w:val="00724C46"/>
    <w:rsid w:val="00726735"/>
    <w:rsid w:val="00726F09"/>
    <w:rsid w:val="0073230A"/>
    <w:rsid w:val="00732579"/>
    <w:rsid w:val="00734B7D"/>
    <w:rsid w:val="00735988"/>
    <w:rsid w:val="00735EB7"/>
    <w:rsid w:val="00735FC8"/>
    <w:rsid w:val="00737496"/>
    <w:rsid w:val="00737836"/>
    <w:rsid w:val="00737A40"/>
    <w:rsid w:val="00737A49"/>
    <w:rsid w:val="00737CD2"/>
    <w:rsid w:val="00740773"/>
    <w:rsid w:val="007419C2"/>
    <w:rsid w:val="00743BE7"/>
    <w:rsid w:val="0074409D"/>
    <w:rsid w:val="00745692"/>
    <w:rsid w:val="00750593"/>
    <w:rsid w:val="00750FB7"/>
    <w:rsid w:val="0075122F"/>
    <w:rsid w:val="00753F80"/>
    <w:rsid w:val="00754551"/>
    <w:rsid w:val="00761D6E"/>
    <w:rsid w:val="00762360"/>
    <w:rsid w:val="00765DA8"/>
    <w:rsid w:val="00773775"/>
    <w:rsid w:val="0077491D"/>
    <w:rsid w:val="00774BA4"/>
    <w:rsid w:val="00774F0D"/>
    <w:rsid w:val="00775188"/>
    <w:rsid w:val="007834BA"/>
    <w:rsid w:val="00783D65"/>
    <w:rsid w:val="00783E31"/>
    <w:rsid w:val="007915A0"/>
    <w:rsid w:val="00792541"/>
    <w:rsid w:val="007953D0"/>
    <w:rsid w:val="007A1B3A"/>
    <w:rsid w:val="007A259F"/>
    <w:rsid w:val="007A3690"/>
    <w:rsid w:val="007A44B7"/>
    <w:rsid w:val="007A5833"/>
    <w:rsid w:val="007A5CD4"/>
    <w:rsid w:val="007A766A"/>
    <w:rsid w:val="007B1DB7"/>
    <w:rsid w:val="007B26FB"/>
    <w:rsid w:val="007B2FE1"/>
    <w:rsid w:val="007B4199"/>
    <w:rsid w:val="007B4CA4"/>
    <w:rsid w:val="007B634E"/>
    <w:rsid w:val="007C11F6"/>
    <w:rsid w:val="007C43F9"/>
    <w:rsid w:val="007C49E3"/>
    <w:rsid w:val="007C74B6"/>
    <w:rsid w:val="007D136F"/>
    <w:rsid w:val="007D4B04"/>
    <w:rsid w:val="007D58B4"/>
    <w:rsid w:val="007E0764"/>
    <w:rsid w:val="007E1AA6"/>
    <w:rsid w:val="007E1B6D"/>
    <w:rsid w:val="007E33A8"/>
    <w:rsid w:val="007E346E"/>
    <w:rsid w:val="007E4658"/>
    <w:rsid w:val="007F094A"/>
    <w:rsid w:val="007F0CEF"/>
    <w:rsid w:val="007F1561"/>
    <w:rsid w:val="007F1D29"/>
    <w:rsid w:val="007F2CFD"/>
    <w:rsid w:val="007F2E2C"/>
    <w:rsid w:val="007F37E1"/>
    <w:rsid w:val="007F40E5"/>
    <w:rsid w:val="007F4122"/>
    <w:rsid w:val="007F6C4D"/>
    <w:rsid w:val="0080005C"/>
    <w:rsid w:val="00801E79"/>
    <w:rsid w:val="00802A12"/>
    <w:rsid w:val="00803A26"/>
    <w:rsid w:val="0080478C"/>
    <w:rsid w:val="008053BF"/>
    <w:rsid w:val="008058BA"/>
    <w:rsid w:val="008067A0"/>
    <w:rsid w:val="0081060F"/>
    <w:rsid w:val="008111A4"/>
    <w:rsid w:val="00811291"/>
    <w:rsid w:val="008117E1"/>
    <w:rsid w:val="008133FB"/>
    <w:rsid w:val="00813EF9"/>
    <w:rsid w:val="0081469B"/>
    <w:rsid w:val="00814846"/>
    <w:rsid w:val="00816BEA"/>
    <w:rsid w:val="008246ED"/>
    <w:rsid w:val="008259CA"/>
    <w:rsid w:val="00827676"/>
    <w:rsid w:val="0083113C"/>
    <w:rsid w:val="00832229"/>
    <w:rsid w:val="00834319"/>
    <w:rsid w:val="00834F20"/>
    <w:rsid w:val="00835766"/>
    <w:rsid w:val="008375AE"/>
    <w:rsid w:val="008379B2"/>
    <w:rsid w:val="00837D9F"/>
    <w:rsid w:val="00841DF7"/>
    <w:rsid w:val="0084241D"/>
    <w:rsid w:val="00843F84"/>
    <w:rsid w:val="0084447A"/>
    <w:rsid w:val="0084519E"/>
    <w:rsid w:val="0084734F"/>
    <w:rsid w:val="00850ABA"/>
    <w:rsid w:val="00851603"/>
    <w:rsid w:val="008530FD"/>
    <w:rsid w:val="008537E7"/>
    <w:rsid w:val="008547EC"/>
    <w:rsid w:val="00854C99"/>
    <w:rsid w:val="0085524E"/>
    <w:rsid w:val="008552F2"/>
    <w:rsid w:val="008567E7"/>
    <w:rsid w:val="00857E39"/>
    <w:rsid w:val="008600F9"/>
    <w:rsid w:val="00860D91"/>
    <w:rsid w:val="0086245E"/>
    <w:rsid w:val="008628DF"/>
    <w:rsid w:val="008635AD"/>
    <w:rsid w:val="00864832"/>
    <w:rsid w:val="00864FCA"/>
    <w:rsid w:val="008678A4"/>
    <w:rsid w:val="008704B8"/>
    <w:rsid w:val="00872812"/>
    <w:rsid w:val="008734FA"/>
    <w:rsid w:val="008741C5"/>
    <w:rsid w:val="008749FB"/>
    <w:rsid w:val="00881DF6"/>
    <w:rsid w:val="00882A0A"/>
    <w:rsid w:val="00887279"/>
    <w:rsid w:val="008923B0"/>
    <w:rsid w:val="00893221"/>
    <w:rsid w:val="008933C4"/>
    <w:rsid w:val="008A010A"/>
    <w:rsid w:val="008A1E31"/>
    <w:rsid w:val="008A4086"/>
    <w:rsid w:val="008A4778"/>
    <w:rsid w:val="008A55DC"/>
    <w:rsid w:val="008A5BD4"/>
    <w:rsid w:val="008A5DA8"/>
    <w:rsid w:val="008A64E4"/>
    <w:rsid w:val="008A7751"/>
    <w:rsid w:val="008B1382"/>
    <w:rsid w:val="008B138A"/>
    <w:rsid w:val="008B5843"/>
    <w:rsid w:val="008B65D0"/>
    <w:rsid w:val="008B6E72"/>
    <w:rsid w:val="008B707E"/>
    <w:rsid w:val="008C0892"/>
    <w:rsid w:val="008C0A56"/>
    <w:rsid w:val="008C480C"/>
    <w:rsid w:val="008C5A91"/>
    <w:rsid w:val="008C6310"/>
    <w:rsid w:val="008C72D8"/>
    <w:rsid w:val="008C74C3"/>
    <w:rsid w:val="008D13E3"/>
    <w:rsid w:val="008D1AF1"/>
    <w:rsid w:val="008D337B"/>
    <w:rsid w:val="008D3B7F"/>
    <w:rsid w:val="008D49DD"/>
    <w:rsid w:val="008D6B9B"/>
    <w:rsid w:val="008E00C9"/>
    <w:rsid w:val="008E02C3"/>
    <w:rsid w:val="008E0AAB"/>
    <w:rsid w:val="008E170C"/>
    <w:rsid w:val="008E1EB5"/>
    <w:rsid w:val="008E5136"/>
    <w:rsid w:val="008F10FF"/>
    <w:rsid w:val="008F26A9"/>
    <w:rsid w:val="008F26C6"/>
    <w:rsid w:val="008F2F6F"/>
    <w:rsid w:val="008F2FD1"/>
    <w:rsid w:val="008F3069"/>
    <w:rsid w:val="008F4B1A"/>
    <w:rsid w:val="008F58C5"/>
    <w:rsid w:val="009003AA"/>
    <w:rsid w:val="00900872"/>
    <w:rsid w:val="009016B9"/>
    <w:rsid w:val="0090228F"/>
    <w:rsid w:val="00903886"/>
    <w:rsid w:val="00907E22"/>
    <w:rsid w:val="00910FB6"/>
    <w:rsid w:val="00911EC1"/>
    <w:rsid w:val="009123B3"/>
    <w:rsid w:val="009123DF"/>
    <w:rsid w:val="0091284D"/>
    <w:rsid w:val="00913523"/>
    <w:rsid w:val="0091416B"/>
    <w:rsid w:val="009172E8"/>
    <w:rsid w:val="00923D96"/>
    <w:rsid w:val="009309C8"/>
    <w:rsid w:val="00931665"/>
    <w:rsid w:val="00931E37"/>
    <w:rsid w:val="00932594"/>
    <w:rsid w:val="009335A8"/>
    <w:rsid w:val="00933D73"/>
    <w:rsid w:val="0093433E"/>
    <w:rsid w:val="00935D55"/>
    <w:rsid w:val="0093759E"/>
    <w:rsid w:val="009376B6"/>
    <w:rsid w:val="009411E5"/>
    <w:rsid w:val="00946D78"/>
    <w:rsid w:val="00951F8A"/>
    <w:rsid w:val="009543CE"/>
    <w:rsid w:val="009555FC"/>
    <w:rsid w:val="00957B06"/>
    <w:rsid w:val="009612C9"/>
    <w:rsid w:val="0096133A"/>
    <w:rsid w:val="0096173A"/>
    <w:rsid w:val="00962E3D"/>
    <w:rsid w:val="00964112"/>
    <w:rsid w:val="00965E3D"/>
    <w:rsid w:val="00967EEC"/>
    <w:rsid w:val="0097011E"/>
    <w:rsid w:val="009733AE"/>
    <w:rsid w:val="00975F2C"/>
    <w:rsid w:val="009762FA"/>
    <w:rsid w:val="0097745B"/>
    <w:rsid w:val="00981CCE"/>
    <w:rsid w:val="0098225C"/>
    <w:rsid w:val="00982385"/>
    <w:rsid w:val="00982C5E"/>
    <w:rsid w:val="009838D8"/>
    <w:rsid w:val="00983E5D"/>
    <w:rsid w:val="00983EDD"/>
    <w:rsid w:val="00984AED"/>
    <w:rsid w:val="00984FA9"/>
    <w:rsid w:val="00985B6A"/>
    <w:rsid w:val="00987854"/>
    <w:rsid w:val="0099166E"/>
    <w:rsid w:val="00992FF9"/>
    <w:rsid w:val="0099345B"/>
    <w:rsid w:val="00993FF0"/>
    <w:rsid w:val="00994037"/>
    <w:rsid w:val="009944AF"/>
    <w:rsid w:val="009977BE"/>
    <w:rsid w:val="009A0A1A"/>
    <w:rsid w:val="009A16EB"/>
    <w:rsid w:val="009A6EBA"/>
    <w:rsid w:val="009B260B"/>
    <w:rsid w:val="009B3936"/>
    <w:rsid w:val="009B6F46"/>
    <w:rsid w:val="009C1915"/>
    <w:rsid w:val="009C2BE4"/>
    <w:rsid w:val="009C383A"/>
    <w:rsid w:val="009C442F"/>
    <w:rsid w:val="009C45BA"/>
    <w:rsid w:val="009C4C1D"/>
    <w:rsid w:val="009C4C8F"/>
    <w:rsid w:val="009C4CE6"/>
    <w:rsid w:val="009C54CD"/>
    <w:rsid w:val="009C58AB"/>
    <w:rsid w:val="009C619F"/>
    <w:rsid w:val="009C7214"/>
    <w:rsid w:val="009D0DC4"/>
    <w:rsid w:val="009D1ED3"/>
    <w:rsid w:val="009D2B18"/>
    <w:rsid w:val="009D48A6"/>
    <w:rsid w:val="009D5718"/>
    <w:rsid w:val="009D6068"/>
    <w:rsid w:val="009D736A"/>
    <w:rsid w:val="009E0077"/>
    <w:rsid w:val="009E1ECF"/>
    <w:rsid w:val="009E258C"/>
    <w:rsid w:val="009E2FDF"/>
    <w:rsid w:val="009E3135"/>
    <w:rsid w:val="009E5721"/>
    <w:rsid w:val="009E729E"/>
    <w:rsid w:val="009F026E"/>
    <w:rsid w:val="009F0D47"/>
    <w:rsid w:val="009F5802"/>
    <w:rsid w:val="009F6341"/>
    <w:rsid w:val="009F6881"/>
    <w:rsid w:val="009F763D"/>
    <w:rsid w:val="009F7776"/>
    <w:rsid w:val="00A01EB5"/>
    <w:rsid w:val="00A02D00"/>
    <w:rsid w:val="00A035B7"/>
    <w:rsid w:val="00A04F7D"/>
    <w:rsid w:val="00A10016"/>
    <w:rsid w:val="00A10D21"/>
    <w:rsid w:val="00A1182F"/>
    <w:rsid w:val="00A11D7F"/>
    <w:rsid w:val="00A120E0"/>
    <w:rsid w:val="00A12D9E"/>
    <w:rsid w:val="00A157EA"/>
    <w:rsid w:val="00A16438"/>
    <w:rsid w:val="00A16FBE"/>
    <w:rsid w:val="00A1776F"/>
    <w:rsid w:val="00A216D6"/>
    <w:rsid w:val="00A229C3"/>
    <w:rsid w:val="00A22BFA"/>
    <w:rsid w:val="00A23933"/>
    <w:rsid w:val="00A24951"/>
    <w:rsid w:val="00A24A13"/>
    <w:rsid w:val="00A27550"/>
    <w:rsid w:val="00A27625"/>
    <w:rsid w:val="00A27C1D"/>
    <w:rsid w:val="00A27FFA"/>
    <w:rsid w:val="00A304F2"/>
    <w:rsid w:val="00A3088A"/>
    <w:rsid w:val="00A34628"/>
    <w:rsid w:val="00A35167"/>
    <w:rsid w:val="00A369A1"/>
    <w:rsid w:val="00A375BD"/>
    <w:rsid w:val="00A37D7A"/>
    <w:rsid w:val="00A37DC2"/>
    <w:rsid w:val="00A41170"/>
    <w:rsid w:val="00A4170E"/>
    <w:rsid w:val="00A42914"/>
    <w:rsid w:val="00A4488D"/>
    <w:rsid w:val="00A45453"/>
    <w:rsid w:val="00A45854"/>
    <w:rsid w:val="00A500A4"/>
    <w:rsid w:val="00A519DD"/>
    <w:rsid w:val="00A51F53"/>
    <w:rsid w:val="00A54EFF"/>
    <w:rsid w:val="00A57C05"/>
    <w:rsid w:val="00A60132"/>
    <w:rsid w:val="00A60753"/>
    <w:rsid w:val="00A627DC"/>
    <w:rsid w:val="00A638D5"/>
    <w:rsid w:val="00A63B05"/>
    <w:rsid w:val="00A63CB8"/>
    <w:rsid w:val="00A6514C"/>
    <w:rsid w:val="00A67771"/>
    <w:rsid w:val="00A67847"/>
    <w:rsid w:val="00A67B41"/>
    <w:rsid w:val="00A70300"/>
    <w:rsid w:val="00A725B2"/>
    <w:rsid w:val="00A726E9"/>
    <w:rsid w:val="00A75BA0"/>
    <w:rsid w:val="00A77942"/>
    <w:rsid w:val="00A8442D"/>
    <w:rsid w:val="00A84888"/>
    <w:rsid w:val="00A8631A"/>
    <w:rsid w:val="00A8681E"/>
    <w:rsid w:val="00A8736F"/>
    <w:rsid w:val="00A873C2"/>
    <w:rsid w:val="00A9029A"/>
    <w:rsid w:val="00A922A7"/>
    <w:rsid w:val="00A941F4"/>
    <w:rsid w:val="00A94788"/>
    <w:rsid w:val="00A95168"/>
    <w:rsid w:val="00A962B5"/>
    <w:rsid w:val="00A96981"/>
    <w:rsid w:val="00AA253C"/>
    <w:rsid w:val="00AA42A9"/>
    <w:rsid w:val="00AB034D"/>
    <w:rsid w:val="00AB1284"/>
    <w:rsid w:val="00AB3903"/>
    <w:rsid w:val="00AC0E29"/>
    <w:rsid w:val="00AC46D0"/>
    <w:rsid w:val="00AC7184"/>
    <w:rsid w:val="00AD422C"/>
    <w:rsid w:val="00AE2548"/>
    <w:rsid w:val="00AE33C9"/>
    <w:rsid w:val="00AE49DA"/>
    <w:rsid w:val="00AE5B64"/>
    <w:rsid w:val="00AF1D5B"/>
    <w:rsid w:val="00AF20DF"/>
    <w:rsid w:val="00AF279A"/>
    <w:rsid w:val="00AF2B0A"/>
    <w:rsid w:val="00AF30A9"/>
    <w:rsid w:val="00AF3988"/>
    <w:rsid w:val="00AF5DC1"/>
    <w:rsid w:val="00AF5E15"/>
    <w:rsid w:val="00B009B0"/>
    <w:rsid w:val="00B01E34"/>
    <w:rsid w:val="00B0233A"/>
    <w:rsid w:val="00B023A3"/>
    <w:rsid w:val="00B029EC"/>
    <w:rsid w:val="00B032B8"/>
    <w:rsid w:val="00B03979"/>
    <w:rsid w:val="00B03B47"/>
    <w:rsid w:val="00B03E5C"/>
    <w:rsid w:val="00B03FB4"/>
    <w:rsid w:val="00B05886"/>
    <w:rsid w:val="00B05B4E"/>
    <w:rsid w:val="00B06661"/>
    <w:rsid w:val="00B06E10"/>
    <w:rsid w:val="00B1000E"/>
    <w:rsid w:val="00B10EE6"/>
    <w:rsid w:val="00B1142A"/>
    <w:rsid w:val="00B11696"/>
    <w:rsid w:val="00B11EA3"/>
    <w:rsid w:val="00B1561D"/>
    <w:rsid w:val="00B159E3"/>
    <w:rsid w:val="00B16FD7"/>
    <w:rsid w:val="00B20905"/>
    <w:rsid w:val="00B20C6D"/>
    <w:rsid w:val="00B20E14"/>
    <w:rsid w:val="00B21154"/>
    <w:rsid w:val="00B22566"/>
    <w:rsid w:val="00B2280B"/>
    <w:rsid w:val="00B2599C"/>
    <w:rsid w:val="00B259D3"/>
    <w:rsid w:val="00B26561"/>
    <w:rsid w:val="00B315A3"/>
    <w:rsid w:val="00B32E22"/>
    <w:rsid w:val="00B33FBB"/>
    <w:rsid w:val="00B34365"/>
    <w:rsid w:val="00B35572"/>
    <w:rsid w:val="00B36008"/>
    <w:rsid w:val="00B4186D"/>
    <w:rsid w:val="00B41BAD"/>
    <w:rsid w:val="00B423A8"/>
    <w:rsid w:val="00B42672"/>
    <w:rsid w:val="00B4312F"/>
    <w:rsid w:val="00B456E9"/>
    <w:rsid w:val="00B45CDC"/>
    <w:rsid w:val="00B51782"/>
    <w:rsid w:val="00B54833"/>
    <w:rsid w:val="00B6000E"/>
    <w:rsid w:val="00B60965"/>
    <w:rsid w:val="00B61540"/>
    <w:rsid w:val="00B648CF"/>
    <w:rsid w:val="00B656DA"/>
    <w:rsid w:val="00B672D9"/>
    <w:rsid w:val="00B67CA2"/>
    <w:rsid w:val="00B7131B"/>
    <w:rsid w:val="00B713DA"/>
    <w:rsid w:val="00B71553"/>
    <w:rsid w:val="00B7257D"/>
    <w:rsid w:val="00B75605"/>
    <w:rsid w:val="00B75EC4"/>
    <w:rsid w:val="00B763EE"/>
    <w:rsid w:val="00B767CC"/>
    <w:rsid w:val="00B77855"/>
    <w:rsid w:val="00B77DF7"/>
    <w:rsid w:val="00B80361"/>
    <w:rsid w:val="00B80367"/>
    <w:rsid w:val="00B80E63"/>
    <w:rsid w:val="00B8162D"/>
    <w:rsid w:val="00B81AA4"/>
    <w:rsid w:val="00B85F00"/>
    <w:rsid w:val="00B860F9"/>
    <w:rsid w:val="00B9042A"/>
    <w:rsid w:val="00B904DE"/>
    <w:rsid w:val="00B91E6E"/>
    <w:rsid w:val="00B92600"/>
    <w:rsid w:val="00B9385D"/>
    <w:rsid w:val="00B93B62"/>
    <w:rsid w:val="00B9477C"/>
    <w:rsid w:val="00B95853"/>
    <w:rsid w:val="00B95A06"/>
    <w:rsid w:val="00B97969"/>
    <w:rsid w:val="00BA105D"/>
    <w:rsid w:val="00BA13B8"/>
    <w:rsid w:val="00BA1C27"/>
    <w:rsid w:val="00BA298B"/>
    <w:rsid w:val="00BA35DB"/>
    <w:rsid w:val="00BA444B"/>
    <w:rsid w:val="00BB0E98"/>
    <w:rsid w:val="00BB3339"/>
    <w:rsid w:val="00BB4870"/>
    <w:rsid w:val="00BB5435"/>
    <w:rsid w:val="00BB6C62"/>
    <w:rsid w:val="00BC1C1A"/>
    <w:rsid w:val="00BC2622"/>
    <w:rsid w:val="00BC4F99"/>
    <w:rsid w:val="00BC7082"/>
    <w:rsid w:val="00BD2BA3"/>
    <w:rsid w:val="00BD491F"/>
    <w:rsid w:val="00BD4AAF"/>
    <w:rsid w:val="00BD5200"/>
    <w:rsid w:val="00BD55C6"/>
    <w:rsid w:val="00BD565F"/>
    <w:rsid w:val="00BD56F2"/>
    <w:rsid w:val="00BD61E0"/>
    <w:rsid w:val="00BE000B"/>
    <w:rsid w:val="00BE1476"/>
    <w:rsid w:val="00BE3D15"/>
    <w:rsid w:val="00BE66E7"/>
    <w:rsid w:val="00BE7648"/>
    <w:rsid w:val="00BE7C97"/>
    <w:rsid w:val="00BF2F2D"/>
    <w:rsid w:val="00BF3BFB"/>
    <w:rsid w:val="00BF4C24"/>
    <w:rsid w:val="00BF5816"/>
    <w:rsid w:val="00BF61BE"/>
    <w:rsid w:val="00BF76C3"/>
    <w:rsid w:val="00BF7E72"/>
    <w:rsid w:val="00C0024E"/>
    <w:rsid w:val="00C019E2"/>
    <w:rsid w:val="00C020B9"/>
    <w:rsid w:val="00C02648"/>
    <w:rsid w:val="00C02B59"/>
    <w:rsid w:val="00C02E6E"/>
    <w:rsid w:val="00C037FB"/>
    <w:rsid w:val="00C03D7F"/>
    <w:rsid w:val="00C04CDA"/>
    <w:rsid w:val="00C1084F"/>
    <w:rsid w:val="00C11110"/>
    <w:rsid w:val="00C11544"/>
    <w:rsid w:val="00C13C8F"/>
    <w:rsid w:val="00C21861"/>
    <w:rsid w:val="00C226C8"/>
    <w:rsid w:val="00C23792"/>
    <w:rsid w:val="00C247D0"/>
    <w:rsid w:val="00C259E0"/>
    <w:rsid w:val="00C26165"/>
    <w:rsid w:val="00C26B67"/>
    <w:rsid w:val="00C26E1A"/>
    <w:rsid w:val="00C3186E"/>
    <w:rsid w:val="00C31D5C"/>
    <w:rsid w:val="00C34319"/>
    <w:rsid w:val="00C34ABD"/>
    <w:rsid w:val="00C3774F"/>
    <w:rsid w:val="00C37FD3"/>
    <w:rsid w:val="00C4060E"/>
    <w:rsid w:val="00C419FB"/>
    <w:rsid w:val="00C43172"/>
    <w:rsid w:val="00C434A0"/>
    <w:rsid w:val="00C451A5"/>
    <w:rsid w:val="00C45D4C"/>
    <w:rsid w:val="00C471F3"/>
    <w:rsid w:val="00C4773C"/>
    <w:rsid w:val="00C477EB"/>
    <w:rsid w:val="00C47908"/>
    <w:rsid w:val="00C50532"/>
    <w:rsid w:val="00C53977"/>
    <w:rsid w:val="00C53E9D"/>
    <w:rsid w:val="00C544E1"/>
    <w:rsid w:val="00C56393"/>
    <w:rsid w:val="00C56E66"/>
    <w:rsid w:val="00C61F17"/>
    <w:rsid w:val="00C6208D"/>
    <w:rsid w:val="00C62616"/>
    <w:rsid w:val="00C62BCE"/>
    <w:rsid w:val="00C6347F"/>
    <w:rsid w:val="00C67B80"/>
    <w:rsid w:val="00C73DEF"/>
    <w:rsid w:val="00C7630A"/>
    <w:rsid w:val="00C802CA"/>
    <w:rsid w:val="00C8373F"/>
    <w:rsid w:val="00C83956"/>
    <w:rsid w:val="00C84129"/>
    <w:rsid w:val="00C859F7"/>
    <w:rsid w:val="00C86114"/>
    <w:rsid w:val="00C86BB1"/>
    <w:rsid w:val="00C87456"/>
    <w:rsid w:val="00C87734"/>
    <w:rsid w:val="00C87DB8"/>
    <w:rsid w:val="00C90AFD"/>
    <w:rsid w:val="00C91439"/>
    <w:rsid w:val="00C917D3"/>
    <w:rsid w:val="00C91A2F"/>
    <w:rsid w:val="00C91E9C"/>
    <w:rsid w:val="00C94660"/>
    <w:rsid w:val="00C947B6"/>
    <w:rsid w:val="00C95B6D"/>
    <w:rsid w:val="00C97BF2"/>
    <w:rsid w:val="00CA0360"/>
    <w:rsid w:val="00CA1E48"/>
    <w:rsid w:val="00CA2B99"/>
    <w:rsid w:val="00CA2F12"/>
    <w:rsid w:val="00CA4126"/>
    <w:rsid w:val="00CA4DF1"/>
    <w:rsid w:val="00CB04A3"/>
    <w:rsid w:val="00CB0528"/>
    <w:rsid w:val="00CB2F52"/>
    <w:rsid w:val="00CC1C1A"/>
    <w:rsid w:val="00CC343C"/>
    <w:rsid w:val="00CC6923"/>
    <w:rsid w:val="00CC7745"/>
    <w:rsid w:val="00CD03E2"/>
    <w:rsid w:val="00CD604B"/>
    <w:rsid w:val="00CD7913"/>
    <w:rsid w:val="00CD7EC4"/>
    <w:rsid w:val="00CE0581"/>
    <w:rsid w:val="00CE173B"/>
    <w:rsid w:val="00CE2339"/>
    <w:rsid w:val="00CE2B2F"/>
    <w:rsid w:val="00CE2FC3"/>
    <w:rsid w:val="00CE40FB"/>
    <w:rsid w:val="00CE44F6"/>
    <w:rsid w:val="00CE6552"/>
    <w:rsid w:val="00CE6E4C"/>
    <w:rsid w:val="00CF16D9"/>
    <w:rsid w:val="00CF26AC"/>
    <w:rsid w:val="00CF2FF2"/>
    <w:rsid w:val="00CF3BFE"/>
    <w:rsid w:val="00CF3C23"/>
    <w:rsid w:val="00CF5E55"/>
    <w:rsid w:val="00CF5F7D"/>
    <w:rsid w:val="00CF6E67"/>
    <w:rsid w:val="00CF75EB"/>
    <w:rsid w:val="00CF7836"/>
    <w:rsid w:val="00CF78C3"/>
    <w:rsid w:val="00D01F5C"/>
    <w:rsid w:val="00D024A3"/>
    <w:rsid w:val="00D02F08"/>
    <w:rsid w:val="00D06AA6"/>
    <w:rsid w:val="00D0753D"/>
    <w:rsid w:val="00D07E00"/>
    <w:rsid w:val="00D1075A"/>
    <w:rsid w:val="00D12EF1"/>
    <w:rsid w:val="00D13D88"/>
    <w:rsid w:val="00D14E4D"/>
    <w:rsid w:val="00D17B24"/>
    <w:rsid w:val="00D17B25"/>
    <w:rsid w:val="00D2015E"/>
    <w:rsid w:val="00D2076D"/>
    <w:rsid w:val="00D21E72"/>
    <w:rsid w:val="00D24FDA"/>
    <w:rsid w:val="00D3018F"/>
    <w:rsid w:val="00D305CD"/>
    <w:rsid w:val="00D310A2"/>
    <w:rsid w:val="00D321B2"/>
    <w:rsid w:val="00D324A2"/>
    <w:rsid w:val="00D34114"/>
    <w:rsid w:val="00D34A96"/>
    <w:rsid w:val="00D351B6"/>
    <w:rsid w:val="00D35DC0"/>
    <w:rsid w:val="00D40517"/>
    <w:rsid w:val="00D40701"/>
    <w:rsid w:val="00D413CC"/>
    <w:rsid w:val="00D4353E"/>
    <w:rsid w:val="00D440FB"/>
    <w:rsid w:val="00D449E8"/>
    <w:rsid w:val="00D4531F"/>
    <w:rsid w:val="00D45C1C"/>
    <w:rsid w:val="00D46487"/>
    <w:rsid w:val="00D46FB0"/>
    <w:rsid w:val="00D47429"/>
    <w:rsid w:val="00D50C7E"/>
    <w:rsid w:val="00D51BC1"/>
    <w:rsid w:val="00D51D37"/>
    <w:rsid w:val="00D52B78"/>
    <w:rsid w:val="00D54CA7"/>
    <w:rsid w:val="00D54DA3"/>
    <w:rsid w:val="00D569B1"/>
    <w:rsid w:val="00D60DD4"/>
    <w:rsid w:val="00D61094"/>
    <w:rsid w:val="00D61C56"/>
    <w:rsid w:val="00D6263E"/>
    <w:rsid w:val="00D65070"/>
    <w:rsid w:val="00D6681E"/>
    <w:rsid w:val="00D7049F"/>
    <w:rsid w:val="00D77997"/>
    <w:rsid w:val="00D809D3"/>
    <w:rsid w:val="00D8116B"/>
    <w:rsid w:val="00D83172"/>
    <w:rsid w:val="00D84CD7"/>
    <w:rsid w:val="00D84F5C"/>
    <w:rsid w:val="00D90CAF"/>
    <w:rsid w:val="00D912B6"/>
    <w:rsid w:val="00D92AF9"/>
    <w:rsid w:val="00D97068"/>
    <w:rsid w:val="00D970F4"/>
    <w:rsid w:val="00D97AD1"/>
    <w:rsid w:val="00D97B2A"/>
    <w:rsid w:val="00DA29A4"/>
    <w:rsid w:val="00DA2D0E"/>
    <w:rsid w:val="00DA337A"/>
    <w:rsid w:val="00DA6D88"/>
    <w:rsid w:val="00DA731F"/>
    <w:rsid w:val="00DB0069"/>
    <w:rsid w:val="00DB1667"/>
    <w:rsid w:val="00DB5E5E"/>
    <w:rsid w:val="00DB67C7"/>
    <w:rsid w:val="00DC0562"/>
    <w:rsid w:val="00DC31A2"/>
    <w:rsid w:val="00DC3A43"/>
    <w:rsid w:val="00DC4116"/>
    <w:rsid w:val="00DC4A99"/>
    <w:rsid w:val="00DD226D"/>
    <w:rsid w:val="00DD328B"/>
    <w:rsid w:val="00DD3C69"/>
    <w:rsid w:val="00DD44C7"/>
    <w:rsid w:val="00DD47BC"/>
    <w:rsid w:val="00DD4934"/>
    <w:rsid w:val="00DD56A9"/>
    <w:rsid w:val="00DD5C36"/>
    <w:rsid w:val="00DD6578"/>
    <w:rsid w:val="00DE3352"/>
    <w:rsid w:val="00DE35EA"/>
    <w:rsid w:val="00DE49FD"/>
    <w:rsid w:val="00DE5A94"/>
    <w:rsid w:val="00DE62B3"/>
    <w:rsid w:val="00DE6763"/>
    <w:rsid w:val="00DE7274"/>
    <w:rsid w:val="00DF06CA"/>
    <w:rsid w:val="00DF1330"/>
    <w:rsid w:val="00DF2106"/>
    <w:rsid w:val="00DF2DBB"/>
    <w:rsid w:val="00DF3C0E"/>
    <w:rsid w:val="00DF43B8"/>
    <w:rsid w:val="00DF454D"/>
    <w:rsid w:val="00DF505B"/>
    <w:rsid w:val="00DF52DB"/>
    <w:rsid w:val="00DF607F"/>
    <w:rsid w:val="00DF66F1"/>
    <w:rsid w:val="00DF6F32"/>
    <w:rsid w:val="00E0305F"/>
    <w:rsid w:val="00E0393B"/>
    <w:rsid w:val="00E045D3"/>
    <w:rsid w:val="00E04603"/>
    <w:rsid w:val="00E05184"/>
    <w:rsid w:val="00E0688D"/>
    <w:rsid w:val="00E10E83"/>
    <w:rsid w:val="00E11FA1"/>
    <w:rsid w:val="00E12585"/>
    <w:rsid w:val="00E12D31"/>
    <w:rsid w:val="00E131F4"/>
    <w:rsid w:val="00E14117"/>
    <w:rsid w:val="00E148EA"/>
    <w:rsid w:val="00E22100"/>
    <w:rsid w:val="00E23B00"/>
    <w:rsid w:val="00E24F3A"/>
    <w:rsid w:val="00E26EA4"/>
    <w:rsid w:val="00E30A74"/>
    <w:rsid w:val="00E319C4"/>
    <w:rsid w:val="00E32B65"/>
    <w:rsid w:val="00E34ED9"/>
    <w:rsid w:val="00E35472"/>
    <w:rsid w:val="00E36C94"/>
    <w:rsid w:val="00E37D33"/>
    <w:rsid w:val="00E439CE"/>
    <w:rsid w:val="00E43F58"/>
    <w:rsid w:val="00E440FA"/>
    <w:rsid w:val="00E445F1"/>
    <w:rsid w:val="00E45202"/>
    <w:rsid w:val="00E455B8"/>
    <w:rsid w:val="00E47885"/>
    <w:rsid w:val="00E50B4C"/>
    <w:rsid w:val="00E50EC6"/>
    <w:rsid w:val="00E511A3"/>
    <w:rsid w:val="00E5210E"/>
    <w:rsid w:val="00E52284"/>
    <w:rsid w:val="00E55B7A"/>
    <w:rsid w:val="00E56084"/>
    <w:rsid w:val="00E602ED"/>
    <w:rsid w:val="00E6067E"/>
    <w:rsid w:val="00E6097B"/>
    <w:rsid w:val="00E643CA"/>
    <w:rsid w:val="00E65400"/>
    <w:rsid w:val="00E65DAE"/>
    <w:rsid w:val="00E65F79"/>
    <w:rsid w:val="00E6679D"/>
    <w:rsid w:val="00E67A41"/>
    <w:rsid w:val="00E67F46"/>
    <w:rsid w:val="00E704FD"/>
    <w:rsid w:val="00E7056E"/>
    <w:rsid w:val="00E74681"/>
    <w:rsid w:val="00E75233"/>
    <w:rsid w:val="00E7587C"/>
    <w:rsid w:val="00E76F7E"/>
    <w:rsid w:val="00E81838"/>
    <w:rsid w:val="00E82920"/>
    <w:rsid w:val="00E82F5D"/>
    <w:rsid w:val="00E8409B"/>
    <w:rsid w:val="00E848D8"/>
    <w:rsid w:val="00E86BDD"/>
    <w:rsid w:val="00E878FA"/>
    <w:rsid w:val="00E91008"/>
    <w:rsid w:val="00E91860"/>
    <w:rsid w:val="00E91B80"/>
    <w:rsid w:val="00E93DA0"/>
    <w:rsid w:val="00E97E09"/>
    <w:rsid w:val="00E97F02"/>
    <w:rsid w:val="00EA0B54"/>
    <w:rsid w:val="00EA131F"/>
    <w:rsid w:val="00EA14AC"/>
    <w:rsid w:val="00EA1514"/>
    <w:rsid w:val="00EA1593"/>
    <w:rsid w:val="00EA2524"/>
    <w:rsid w:val="00EA306E"/>
    <w:rsid w:val="00EA608E"/>
    <w:rsid w:val="00EA780D"/>
    <w:rsid w:val="00EB0EFD"/>
    <w:rsid w:val="00EB341D"/>
    <w:rsid w:val="00EB4DC0"/>
    <w:rsid w:val="00EC17FD"/>
    <w:rsid w:val="00EC52B2"/>
    <w:rsid w:val="00EC5D78"/>
    <w:rsid w:val="00EC60A7"/>
    <w:rsid w:val="00EC68A1"/>
    <w:rsid w:val="00EC6A64"/>
    <w:rsid w:val="00EC780B"/>
    <w:rsid w:val="00ED0312"/>
    <w:rsid w:val="00ED04A4"/>
    <w:rsid w:val="00ED102E"/>
    <w:rsid w:val="00ED490B"/>
    <w:rsid w:val="00ED50D9"/>
    <w:rsid w:val="00ED6CCC"/>
    <w:rsid w:val="00EE01F9"/>
    <w:rsid w:val="00EE19FF"/>
    <w:rsid w:val="00EE5E50"/>
    <w:rsid w:val="00EF090A"/>
    <w:rsid w:val="00EF2BF9"/>
    <w:rsid w:val="00EF2CA2"/>
    <w:rsid w:val="00EF454F"/>
    <w:rsid w:val="00EF45E1"/>
    <w:rsid w:val="00EF4B64"/>
    <w:rsid w:val="00EF4CFB"/>
    <w:rsid w:val="00EF7296"/>
    <w:rsid w:val="00F03DCB"/>
    <w:rsid w:val="00F04A8B"/>
    <w:rsid w:val="00F058FE"/>
    <w:rsid w:val="00F062F1"/>
    <w:rsid w:val="00F06DDA"/>
    <w:rsid w:val="00F10A83"/>
    <w:rsid w:val="00F10CE0"/>
    <w:rsid w:val="00F1157D"/>
    <w:rsid w:val="00F12FCF"/>
    <w:rsid w:val="00F14E09"/>
    <w:rsid w:val="00F1715F"/>
    <w:rsid w:val="00F20C96"/>
    <w:rsid w:val="00F22FA2"/>
    <w:rsid w:val="00F23CF5"/>
    <w:rsid w:val="00F2402C"/>
    <w:rsid w:val="00F30FC3"/>
    <w:rsid w:val="00F31135"/>
    <w:rsid w:val="00F320A4"/>
    <w:rsid w:val="00F32703"/>
    <w:rsid w:val="00F33EF4"/>
    <w:rsid w:val="00F405EC"/>
    <w:rsid w:val="00F41DA9"/>
    <w:rsid w:val="00F4219A"/>
    <w:rsid w:val="00F4301D"/>
    <w:rsid w:val="00F44C96"/>
    <w:rsid w:val="00F45598"/>
    <w:rsid w:val="00F51540"/>
    <w:rsid w:val="00F52048"/>
    <w:rsid w:val="00F52500"/>
    <w:rsid w:val="00F52B43"/>
    <w:rsid w:val="00F558A1"/>
    <w:rsid w:val="00F6081C"/>
    <w:rsid w:val="00F60F81"/>
    <w:rsid w:val="00F616AF"/>
    <w:rsid w:val="00F63DC7"/>
    <w:rsid w:val="00F65C05"/>
    <w:rsid w:val="00F6619B"/>
    <w:rsid w:val="00F71254"/>
    <w:rsid w:val="00F71447"/>
    <w:rsid w:val="00F715FD"/>
    <w:rsid w:val="00F7210E"/>
    <w:rsid w:val="00F72A21"/>
    <w:rsid w:val="00F73972"/>
    <w:rsid w:val="00F74151"/>
    <w:rsid w:val="00F7698F"/>
    <w:rsid w:val="00F81223"/>
    <w:rsid w:val="00F83D21"/>
    <w:rsid w:val="00F83F22"/>
    <w:rsid w:val="00F85D04"/>
    <w:rsid w:val="00F86DBE"/>
    <w:rsid w:val="00F902B0"/>
    <w:rsid w:val="00F90438"/>
    <w:rsid w:val="00F91661"/>
    <w:rsid w:val="00F92189"/>
    <w:rsid w:val="00F971BE"/>
    <w:rsid w:val="00FA0CD6"/>
    <w:rsid w:val="00FA5EAA"/>
    <w:rsid w:val="00FA6653"/>
    <w:rsid w:val="00FA767D"/>
    <w:rsid w:val="00FB177C"/>
    <w:rsid w:val="00FB4AD7"/>
    <w:rsid w:val="00FB53BA"/>
    <w:rsid w:val="00FB7746"/>
    <w:rsid w:val="00FC0D22"/>
    <w:rsid w:val="00FC1024"/>
    <w:rsid w:val="00FC13CC"/>
    <w:rsid w:val="00FC3823"/>
    <w:rsid w:val="00FC4762"/>
    <w:rsid w:val="00FD0232"/>
    <w:rsid w:val="00FD05D6"/>
    <w:rsid w:val="00FD0BE5"/>
    <w:rsid w:val="00FD2535"/>
    <w:rsid w:val="00FD3165"/>
    <w:rsid w:val="00FD3374"/>
    <w:rsid w:val="00FD3770"/>
    <w:rsid w:val="00FD42D6"/>
    <w:rsid w:val="00FD4B90"/>
    <w:rsid w:val="00FD587B"/>
    <w:rsid w:val="00FD66FD"/>
    <w:rsid w:val="00FD7742"/>
    <w:rsid w:val="00FE1675"/>
    <w:rsid w:val="00FE4EBA"/>
    <w:rsid w:val="00FE59CA"/>
    <w:rsid w:val="00FE613B"/>
    <w:rsid w:val="00FE7B71"/>
    <w:rsid w:val="00FF0BC2"/>
    <w:rsid w:val="00FF253D"/>
    <w:rsid w:val="00FF2774"/>
    <w:rsid w:val="00FF4151"/>
    <w:rsid w:val="00FF6E82"/>
    <w:rsid w:val="00FF742D"/>
    <w:rsid w:val="00FF7D40"/>
    <w:rsid w:val="0F89AE5B"/>
    <w:rsid w:val="137E28C8"/>
    <w:rsid w:val="180123F3"/>
    <w:rsid w:val="321BE6B5"/>
    <w:rsid w:val="446A9E5D"/>
    <w:rsid w:val="781CA1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A24A13"/>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A24A13"/>
    <w:rPr>
      <w:sz w:val="20"/>
    </w:rPr>
  </w:style>
  <w:style w:type="character" w:styleId="CommentReference">
    <w:name w:val="annotation reference"/>
    <w:basedOn w:val="DefaultParagraphFont"/>
    <w:uiPriority w:val="99"/>
    <w:semiHidden/>
    <w:unhideWhenUsed/>
    <w:locked/>
    <w:rsid w:val="00A24A13"/>
    <w:rPr>
      <w:sz w:val="16"/>
      <w:szCs w:val="16"/>
    </w:rPr>
  </w:style>
  <w:style w:type="paragraph" w:styleId="CommentText">
    <w:name w:val="annotation text"/>
    <w:basedOn w:val="Normal"/>
    <w:link w:val="CommentTextChar"/>
    <w:uiPriority w:val="99"/>
    <w:unhideWhenUsed/>
    <w:locked/>
    <w:rsid w:val="00A24A13"/>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A24A13"/>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A24A13"/>
    <w:rPr>
      <w:vertAlign w:val="superscript"/>
    </w:rPr>
  </w:style>
  <w:style w:type="character" w:customStyle="1" w:styleId="TitleChar">
    <w:name w:val="Title Char"/>
    <w:basedOn w:val="DefaultParagraphFont"/>
    <w:link w:val="Title"/>
    <w:uiPriority w:val="10"/>
    <w:rsid w:val="00A24A13"/>
    <w:rPr>
      <w:b/>
      <w:kern w:val="28"/>
      <w:sz w:val="48"/>
    </w:rPr>
  </w:style>
  <w:style w:type="table" w:styleId="GridTable7Colorful-Accent6">
    <w:name w:val="Grid Table 7 Colorful Accent 6"/>
    <w:basedOn w:val="TableNormal"/>
    <w:uiPriority w:val="52"/>
    <w:locked/>
    <w:rsid w:val="00A24A13"/>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A24A13"/>
    <w:rPr>
      <w:b/>
      <w:smallCaps/>
    </w:rPr>
  </w:style>
  <w:style w:type="character" w:customStyle="1" w:styleId="Heading2Char">
    <w:name w:val="Heading 2 Char"/>
    <w:basedOn w:val="DefaultParagraphFont"/>
    <w:link w:val="Heading2"/>
    <w:uiPriority w:val="9"/>
    <w:rsid w:val="00A24A13"/>
    <w:rPr>
      <w:b/>
    </w:rPr>
  </w:style>
  <w:style w:type="character" w:customStyle="1" w:styleId="Heading3Char">
    <w:name w:val="Heading 3 Char"/>
    <w:basedOn w:val="DefaultParagraphFont"/>
    <w:link w:val="Heading3"/>
    <w:uiPriority w:val="9"/>
    <w:rsid w:val="00A24A13"/>
    <w:rPr>
      <w:i/>
    </w:rPr>
  </w:style>
  <w:style w:type="character" w:customStyle="1" w:styleId="Heading4Char">
    <w:name w:val="Heading 4 Char"/>
    <w:basedOn w:val="DefaultParagraphFont"/>
    <w:link w:val="Heading4"/>
    <w:uiPriority w:val="9"/>
    <w:rsid w:val="00A24A13"/>
  </w:style>
  <w:style w:type="character" w:customStyle="1" w:styleId="Heading5Char">
    <w:name w:val="Heading 5 Char"/>
    <w:basedOn w:val="DefaultParagraphFont"/>
    <w:link w:val="Heading5"/>
    <w:uiPriority w:val="9"/>
    <w:semiHidden/>
    <w:rsid w:val="00A24A13"/>
  </w:style>
  <w:style w:type="character" w:customStyle="1" w:styleId="Heading6Char">
    <w:name w:val="Heading 6 Char"/>
    <w:basedOn w:val="DefaultParagraphFont"/>
    <w:link w:val="Heading6"/>
    <w:uiPriority w:val="9"/>
    <w:semiHidden/>
    <w:rsid w:val="00A24A13"/>
  </w:style>
  <w:style w:type="character" w:customStyle="1" w:styleId="Heading7Char">
    <w:name w:val="Heading 7 Char"/>
    <w:basedOn w:val="DefaultParagraphFont"/>
    <w:link w:val="Heading7"/>
    <w:uiPriority w:val="9"/>
    <w:semiHidden/>
    <w:rsid w:val="00A24A13"/>
  </w:style>
  <w:style w:type="character" w:customStyle="1" w:styleId="Heading8Char">
    <w:name w:val="Heading 8 Char"/>
    <w:basedOn w:val="DefaultParagraphFont"/>
    <w:link w:val="Heading8"/>
    <w:uiPriority w:val="9"/>
    <w:semiHidden/>
    <w:rsid w:val="00A24A13"/>
  </w:style>
  <w:style w:type="character" w:customStyle="1" w:styleId="Heading9Char">
    <w:name w:val="Heading 9 Char"/>
    <w:basedOn w:val="DefaultParagraphFont"/>
    <w:link w:val="Heading9"/>
    <w:uiPriority w:val="9"/>
    <w:semiHidden/>
    <w:rsid w:val="00A24A13"/>
  </w:style>
  <w:style w:type="paragraph" w:customStyle="1" w:styleId="FootnoteRoLReport">
    <w:name w:val="Footnote RoL Report"/>
    <w:basedOn w:val="FootnoteText"/>
    <w:link w:val="FootnoteRoLReportChar"/>
    <w:autoRedefine/>
    <w:qFormat/>
    <w:rsid w:val="00A24A13"/>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A24A13"/>
    <w:rPr>
      <w:rFonts w:eastAsiaTheme="minorHAnsi" w:cstheme="minorBidi"/>
      <w:sz w:val="20"/>
      <w:lang w:val="en-US" w:eastAsia="en-US"/>
    </w:rPr>
  </w:style>
  <w:style w:type="paragraph" w:styleId="ListParagraph">
    <w:name w:val="List Paragraph"/>
    <w:basedOn w:val="Normal"/>
    <w:uiPriority w:val="34"/>
    <w:qFormat/>
    <w:locked/>
    <w:rsid w:val="00A24A13"/>
    <w:pPr>
      <w:ind w:left="720"/>
      <w:contextualSpacing/>
    </w:pPr>
    <w:rPr>
      <w:rFonts w:eastAsiaTheme="minorHAnsi" w:cstheme="minorBidi"/>
      <w:szCs w:val="22"/>
      <w:lang w:val="en-US" w:eastAsia="en-US"/>
    </w:rPr>
  </w:style>
  <w:style w:type="paragraph" w:styleId="NormalWeb">
    <w:name w:val="Normal (Web)"/>
    <w:basedOn w:val="Normal"/>
    <w:uiPriority w:val="99"/>
    <w:semiHidden/>
    <w:unhideWhenUsed/>
    <w:locked/>
    <w:rsid w:val="00A24A13"/>
    <w:rPr>
      <w:rFonts w:eastAsiaTheme="minorHAnsi"/>
      <w:szCs w:val="24"/>
      <w:lang w:val="en-US" w:eastAsia="en-US"/>
    </w:rPr>
  </w:style>
  <w:style w:type="character" w:styleId="Hyperlink">
    <w:name w:val="Hyperlink"/>
    <w:basedOn w:val="DefaultParagraphFont"/>
    <w:unhideWhenUsed/>
    <w:locked/>
    <w:rsid w:val="00A24A13"/>
    <w:rPr>
      <w:color w:val="0563C1" w:themeColor="hyperlink"/>
      <w:u w:val="single"/>
    </w:rPr>
  </w:style>
  <w:style w:type="paragraph" w:styleId="CommentSubject">
    <w:name w:val="annotation subject"/>
    <w:basedOn w:val="CommentText"/>
    <w:next w:val="CommentText"/>
    <w:link w:val="CommentSubjectChar"/>
    <w:uiPriority w:val="99"/>
    <w:semiHidden/>
    <w:unhideWhenUsed/>
    <w:locked/>
    <w:rsid w:val="00A24A13"/>
    <w:rPr>
      <w:b/>
      <w:bCs/>
    </w:rPr>
  </w:style>
  <w:style w:type="character" w:customStyle="1" w:styleId="CommentSubjectChar">
    <w:name w:val="Comment Subject Char"/>
    <w:basedOn w:val="CommentTextChar"/>
    <w:link w:val="CommentSubject"/>
    <w:uiPriority w:val="99"/>
    <w:semiHidden/>
    <w:rsid w:val="00A24A13"/>
    <w:rPr>
      <w:rFonts w:eastAsiaTheme="minorHAnsi" w:cstheme="minorBidi"/>
      <w:b/>
      <w:bCs/>
      <w:sz w:val="20"/>
      <w:lang w:val="en-US" w:eastAsia="en-US"/>
    </w:rPr>
  </w:style>
  <w:style w:type="paragraph" w:styleId="Revision">
    <w:name w:val="Revision"/>
    <w:hidden/>
    <w:uiPriority w:val="99"/>
    <w:semiHidden/>
    <w:locked/>
    <w:rsid w:val="00A24A13"/>
    <w:rPr>
      <w:rFonts w:eastAsiaTheme="minorHAnsi" w:cstheme="minorBidi"/>
      <w:szCs w:val="22"/>
      <w:lang w:val="en-US" w:eastAsia="en-US"/>
    </w:rPr>
  </w:style>
  <w:style w:type="character" w:customStyle="1" w:styleId="Mention">
    <w:name w:val="Mention"/>
    <w:basedOn w:val="DefaultParagraphFont"/>
    <w:uiPriority w:val="99"/>
    <w:unhideWhenUsed/>
    <w:rsid w:val="00A24A13"/>
    <w:rPr>
      <w:color w:val="2B579A"/>
      <w:shd w:val="clear" w:color="auto" w:fill="E1DFDD"/>
    </w:rPr>
  </w:style>
  <w:style w:type="character" w:customStyle="1" w:styleId="UnresolvedMention">
    <w:name w:val="Unresolved Mention"/>
    <w:basedOn w:val="DefaultParagraphFont"/>
    <w:uiPriority w:val="99"/>
    <w:semiHidden/>
    <w:unhideWhenUsed/>
    <w:rsid w:val="00A24A13"/>
    <w:rPr>
      <w:color w:val="605E5C"/>
      <w:shd w:val="clear" w:color="auto" w:fill="E1DFDD"/>
    </w:rPr>
  </w:style>
  <w:style w:type="character" w:styleId="FollowedHyperlink">
    <w:name w:val="FollowedHyperlink"/>
    <w:basedOn w:val="DefaultParagraphFont"/>
    <w:uiPriority w:val="99"/>
    <w:semiHidden/>
    <w:unhideWhenUsed/>
    <w:locked/>
    <w:rsid w:val="00A24A13"/>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24A13"/>
    <w:pPr>
      <w:spacing w:after="160" w:line="240" w:lineRule="exact"/>
    </w:pPr>
    <w:rPr>
      <w:vertAlign w:val="superscript"/>
    </w:rPr>
  </w:style>
  <w:style w:type="character" w:customStyle="1" w:styleId="FootnoteTextChar1">
    <w:name w:val="Footnote Text Char1"/>
    <w:basedOn w:val="DefaultParagraphFont"/>
    <w:uiPriority w:val="99"/>
    <w:semiHidden/>
    <w:rsid w:val="00A24A1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0152">
      <w:bodyDiv w:val="1"/>
      <w:marLeft w:val="0"/>
      <w:marRight w:val="0"/>
      <w:marTop w:val="0"/>
      <w:marBottom w:val="0"/>
      <w:divBdr>
        <w:top w:val="none" w:sz="0" w:space="0" w:color="auto"/>
        <w:left w:val="none" w:sz="0" w:space="0" w:color="auto"/>
        <w:bottom w:val="none" w:sz="0" w:space="0" w:color="auto"/>
        <w:right w:val="none" w:sz="0" w:space="0" w:color="auto"/>
      </w:divBdr>
      <w:divsChild>
        <w:div w:id="672538736">
          <w:marLeft w:val="0"/>
          <w:marRight w:val="0"/>
          <w:marTop w:val="0"/>
          <w:marBottom w:val="0"/>
          <w:divBdr>
            <w:top w:val="none" w:sz="0" w:space="0" w:color="auto"/>
            <w:left w:val="none" w:sz="0" w:space="0" w:color="auto"/>
            <w:bottom w:val="none" w:sz="0" w:space="0" w:color="auto"/>
            <w:right w:val="none" w:sz="0" w:space="0" w:color="auto"/>
          </w:divBdr>
        </w:div>
        <w:div w:id="750126857">
          <w:marLeft w:val="0"/>
          <w:marRight w:val="0"/>
          <w:marTop w:val="0"/>
          <w:marBottom w:val="0"/>
          <w:divBdr>
            <w:top w:val="none" w:sz="0" w:space="0" w:color="auto"/>
            <w:left w:val="none" w:sz="0" w:space="0" w:color="auto"/>
            <w:bottom w:val="none" w:sz="0" w:space="0" w:color="auto"/>
            <w:right w:val="none" w:sz="0" w:space="0" w:color="auto"/>
          </w:divBdr>
        </w:div>
        <w:div w:id="2126189953">
          <w:marLeft w:val="0"/>
          <w:marRight w:val="0"/>
          <w:marTop w:val="0"/>
          <w:marBottom w:val="0"/>
          <w:divBdr>
            <w:top w:val="none" w:sz="0" w:space="0" w:color="auto"/>
            <w:left w:val="none" w:sz="0" w:space="0" w:color="auto"/>
            <w:bottom w:val="none" w:sz="0" w:space="0" w:color="auto"/>
            <w:right w:val="none" w:sz="0" w:space="0" w:color="auto"/>
          </w:divBdr>
        </w:div>
      </w:divsChild>
    </w:div>
    <w:div w:id="87894101">
      <w:bodyDiv w:val="1"/>
      <w:marLeft w:val="0"/>
      <w:marRight w:val="0"/>
      <w:marTop w:val="0"/>
      <w:marBottom w:val="0"/>
      <w:divBdr>
        <w:top w:val="none" w:sz="0" w:space="0" w:color="auto"/>
        <w:left w:val="none" w:sz="0" w:space="0" w:color="auto"/>
        <w:bottom w:val="none" w:sz="0" w:space="0" w:color="auto"/>
        <w:right w:val="none" w:sz="0" w:space="0" w:color="auto"/>
      </w:divBdr>
      <w:divsChild>
        <w:div w:id="226259336">
          <w:marLeft w:val="0"/>
          <w:marRight w:val="0"/>
          <w:marTop w:val="0"/>
          <w:marBottom w:val="0"/>
          <w:divBdr>
            <w:top w:val="none" w:sz="0" w:space="0" w:color="auto"/>
            <w:left w:val="none" w:sz="0" w:space="0" w:color="auto"/>
            <w:bottom w:val="none" w:sz="0" w:space="0" w:color="auto"/>
            <w:right w:val="none" w:sz="0" w:space="0" w:color="auto"/>
          </w:divBdr>
        </w:div>
        <w:div w:id="278072054">
          <w:marLeft w:val="0"/>
          <w:marRight w:val="0"/>
          <w:marTop w:val="0"/>
          <w:marBottom w:val="0"/>
          <w:divBdr>
            <w:top w:val="none" w:sz="0" w:space="0" w:color="auto"/>
            <w:left w:val="none" w:sz="0" w:space="0" w:color="auto"/>
            <w:bottom w:val="none" w:sz="0" w:space="0" w:color="auto"/>
            <w:right w:val="none" w:sz="0" w:space="0" w:color="auto"/>
          </w:divBdr>
        </w:div>
        <w:div w:id="412510583">
          <w:marLeft w:val="0"/>
          <w:marRight w:val="0"/>
          <w:marTop w:val="0"/>
          <w:marBottom w:val="0"/>
          <w:divBdr>
            <w:top w:val="none" w:sz="0" w:space="0" w:color="auto"/>
            <w:left w:val="none" w:sz="0" w:space="0" w:color="auto"/>
            <w:bottom w:val="none" w:sz="0" w:space="0" w:color="auto"/>
            <w:right w:val="none" w:sz="0" w:space="0" w:color="auto"/>
          </w:divBdr>
        </w:div>
        <w:div w:id="667906359">
          <w:marLeft w:val="0"/>
          <w:marRight w:val="0"/>
          <w:marTop w:val="0"/>
          <w:marBottom w:val="0"/>
          <w:divBdr>
            <w:top w:val="none" w:sz="0" w:space="0" w:color="auto"/>
            <w:left w:val="none" w:sz="0" w:space="0" w:color="auto"/>
            <w:bottom w:val="none" w:sz="0" w:space="0" w:color="auto"/>
            <w:right w:val="none" w:sz="0" w:space="0" w:color="auto"/>
          </w:divBdr>
        </w:div>
        <w:div w:id="1532189623">
          <w:marLeft w:val="0"/>
          <w:marRight w:val="0"/>
          <w:marTop w:val="0"/>
          <w:marBottom w:val="0"/>
          <w:divBdr>
            <w:top w:val="none" w:sz="0" w:space="0" w:color="auto"/>
            <w:left w:val="none" w:sz="0" w:space="0" w:color="auto"/>
            <w:bottom w:val="none" w:sz="0" w:space="0" w:color="auto"/>
            <w:right w:val="none" w:sz="0" w:space="0" w:color="auto"/>
          </w:divBdr>
        </w:div>
        <w:div w:id="1785347207">
          <w:marLeft w:val="0"/>
          <w:marRight w:val="0"/>
          <w:marTop w:val="0"/>
          <w:marBottom w:val="0"/>
          <w:divBdr>
            <w:top w:val="none" w:sz="0" w:space="0" w:color="auto"/>
            <w:left w:val="none" w:sz="0" w:space="0" w:color="auto"/>
            <w:bottom w:val="none" w:sz="0" w:space="0" w:color="auto"/>
            <w:right w:val="none" w:sz="0" w:space="0" w:color="auto"/>
          </w:divBdr>
        </w:div>
      </w:divsChild>
    </w:div>
    <w:div w:id="120421590">
      <w:bodyDiv w:val="1"/>
      <w:marLeft w:val="0"/>
      <w:marRight w:val="0"/>
      <w:marTop w:val="0"/>
      <w:marBottom w:val="0"/>
      <w:divBdr>
        <w:top w:val="none" w:sz="0" w:space="0" w:color="auto"/>
        <w:left w:val="none" w:sz="0" w:space="0" w:color="auto"/>
        <w:bottom w:val="none" w:sz="0" w:space="0" w:color="auto"/>
        <w:right w:val="none" w:sz="0" w:space="0" w:color="auto"/>
      </w:divBdr>
      <w:divsChild>
        <w:div w:id="7562204">
          <w:marLeft w:val="0"/>
          <w:marRight w:val="0"/>
          <w:marTop w:val="0"/>
          <w:marBottom w:val="0"/>
          <w:divBdr>
            <w:top w:val="none" w:sz="0" w:space="0" w:color="auto"/>
            <w:left w:val="none" w:sz="0" w:space="0" w:color="auto"/>
            <w:bottom w:val="none" w:sz="0" w:space="0" w:color="auto"/>
            <w:right w:val="none" w:sz="0" w:space="0" w:color="auto"/>
          </w:divBdr>
        </w:div>
        <w:div w:id="86850304">
          <w:marLeft w:val="0"/>
          <w:marRight w:val="0"/>
          <w:marTop w:val="0"/>
          <w:marBottom w:val="0"/>
          <w:divBdr>
            <w:top w:val="none" w:sz="0" w:space="0" w:color="auto"/>
            <w:left w:val="none" w:sz="0" w:space="0" w:color="auto"/>
            <w:bottom w:val="none" w:sz="0" w:space="0" w:color="auto"/>
            <w:right w:val="none" w:sz="0" w:space="0" w:color="auto"/>
          </w:divBdr>
        </w:div>
        <w:div w:id="503739086">
          <w:marLeft w:val="0"/>
          <w:marRight w:val="0"/>
          <w:marTop w:val="0"/>
          <w:marBottom w:val="0"/>
          <w:divBdr>
            <w:top w:val="none" w:sz="0" w:space="0" w:color="auto"/>
            <w:left w:val="none" w:sz="0" w:space="0" w:color="auto"/>
            <w:bottom w:val="none" w:sz="0" w:space="0" w:color="auto"/>
            <w:right w:val="none" w:sz="0" w:space="0" w:color="auto"/>
          </w:divBdr>
        </w:div>
        <w:div w:id="628705948">
          <w:marLeft w:val="0"/>
          <w:marRight w:val="0"/>
          <w:marTop w:val="0"/>
          <w:marBottom w:val="0"/>
          <w:divBdr>
            <w:top w:val="none" w:sz="0" w:space="0" w:color="auto"/>
            <w:left w:val="none" w:sz="0" w:space="0" w:color="auto"/>
            <w:bottom w:val="none" w:sz="0" w:space="0" w:color="auto"/>
            <w:right w:val="none" w:sz="0" w:space="0" w:color="auto"/>
          </w:divBdr>
        </w:div>
        <w:div w:id="1608660675">
          <w:marLeft w:val="0"/>
          <w:marRight w:val="0"/>
          <w:marTop w:val="0"/>
          <w:marBottom w:val="0"/>
          <w:divBdr>
            <w:top w:val="none" w:sz="0" w:space="0" w:color="auto"/>
            <w:left w:val="none" w:sz="0" w:space="0" w:color="auto"/>
            <w:bottom w:val="none" w:sz="0" w:space="0" w:color="auto"/>
            <w:right w:val="none" w:sz="0" w:space="0" w:color="auto"/>
          </w:divBdr>
        </w:div>
        <w:div w:id="1830634981">
          <w:marLeft w:val="0"/>
          <w:marRight w:val="0"/>
          <w:marTop w:val="0"/>
          <w:marBottom w:val="0"/>
          <w:divBdr>
            <w:top w:val="none" w:sz="0" w:space="0" w:color="auto"/>
            <w:left w:val="none" w:sz="0" w:space="0" w:color="auto"/>
            <w:bottom w:val="none" w:sz="0" w:space="0" w:color="auto"/>
            <w:right w:val="none" w:sz="0" w:space="0" w:color="auto"/>
          </w:divBdr>
        </w:div>
      </w:divsChild>
    </w:div>
    <w:div w:id="299961829">
      <w:bodyDiv w:val="1"/>
      <w:marLeft w:val="0"/>
      <w:marRight w:val="0"/>
      <w:marTop w:val="0"/>
      <w:marBottom w:val="0"/>
      <w:divBdr>
        <w:top w:val="none" w:sz="0" w:space="0" w:color="auto"/>
        <w:left w:val="none" w:sz="0" w:space="0" w:color="auto"/>
        <w:bottom w:val="none" w:sz="0" w:space="0" w:color="auto"/>
        <w:right w:val="none" w:sz="0" w:space="0" w:color="auto"/>
      </w:divBdr>
    </w:div>
    <w:div w:id="309528211">
      <w:bodyDiv w:val="1"/>
      <w:marLeft w:val="0"/>
      <w:marRight w:val="0"/>
      <w:marTop w:val="0"/>
      <w:marBottom w:val="0"/>
      <w:divBdr>
        <w:top w:val="none" w:sz="0" w:space="0" w:color="auto"/>
        <w:left w:val="none" w:sz="0" w:space="0" w:color="auto"/>
        <w:bottom w:val="none" w:sz="0" w:space="0" w:color="auto"/>
        <w:right w:val="none" w:sz="0" w:space="0" w:color="auto"/>
      </w:divBdr>
    </w:div>
    <w:div w:id="425613142">
      <w:bodyDiv w:val="1"/>
      <w:marLeft w:val="0"/>
      <w:marRight w:val="0"/>
      <w:marTop w:val="0"/>
      <w:marBottom w:val="0"/>
      <w:divBdr>
        <w:top w:val="none" w:sz="0" w:space="0" w:color="auto"/>
        <w:left w:val="none" w:sz="0" w:space="0" w:color="auto"/>
        <w:bottom w:val="none" w:sz="0" w:space="0" w:color="auto"/>
        <w:right w:val="none" w:sz="0" w:space="0" w:color="auto"/>
      </w:divBdr>
    </w:div>
    <w:div w:id="698700974">
      <w:bodyDiv w:val="1"/>
      <w:marLeft w:val="0"/>
      <w:marRight w:val="0"/>
      <w:marTop w:val="0"/>
      <w:marBottom w:val="0"/>
      <w:divBdr>
        <w:top w:val="none" w:sz="0" w:space="0" w:color="auto"/>
        <w:left w:val="none" w:sz="0" w:space="0" w:color="auto"/>
        <w:bottom w:val="none" w:sz="0" w:space="0" w:color="auto"/>
        <w:right w:val="none" w:sz="0" w:space="0" w:color="auto"/>
      </w:divBdr>
      <w:divsChild>
        <w:div w:id="84809944">
          <w:marLeft w:val="0"/>
          <w:marRight w:val="0"/>
          <w:marTop w:val="0"/>
          <w:marBottom w:val="0"/>
          <w:divBdr>
            <w:top w:val="none" w:sz="0" w:space="0" w:color="auto"/>
            <w:left w:val="none" w:sz="0" w:space="0" w:color="auto"/>
            <w:bottom w:val="none" w:sz="0" w:space="0" w:color="auto"/>
            <w:right w:val="none" w:sz="0" w:space="0" w:color="auto"/>
          </w:divBdr>
        </w:div>
        <w:div w:id="257174514">
          <w:marLeft w:val="0"/>
          <w:marRight w:val="0"/>
          <w:marTop w:val="0"/>
          <w:marBottom w:val="0"/>
          <w:divBdr>
            <w:top w:val="none" w:sz="0" w:space="0" w:color="auto"/>
            <w:left w:val="none" w:sz="0" w:space="0" w:color="auto"/>
            <w:bottom w:val="none" w:sz="0" w:space="0" w:color="auto"/>
            <w:right w:val="none" w:sz="0" w:space="0" w:color="auto"/>
          </w:divBdr>
          <w:divsChild>
            <w:div w:id="709306011">
              <w:marLeft w:val="0"/>
              <w:marRight w:val="0"/>
              <w:marTop w:val="0"/>
              <w:marBottom w:val="0"/>
              <w:divBdr>
                <w:top w:val="none" w:sz="0" w:space="0" w:color="auto"/>
                <w:left w:val="none" w:sz="0" w:space="0" w:color="auto"/>
                <w:bottom w:val="none" w:sz="0" w:space="0" w:color="auto"/>
                <w:right w:val="none" w:sz="0" w:space="0" w:color="auto"/>
              </w:divBdr>
            </w:div>
            <w:div w:id="1428623539">
              <w:marLeft w:val="0"/>
              <w:marRight w:val="0"/>
              <w:marTop w:val="0"/>
              <w:marBottom w:val="0"/>
              <w:divBdr>
                <w:top w:val="none" w:sz="0" w:space="0" w:color="auto"/>
                <w:left w:val="none" w:sz="0" w:space="0" w:color="auto"/>
                <w:bottom w:val="none" w:sz="0" w:space="0" w:color="auto"/>
                <w:right w:val="none" w:sz="0" w:space="0" w:color="auto"/>
              </w:divBdr>
            </w:div>
            <w:div w:id="1477339069">
              <w:marLeft w:val="0"/>
              <w:marRight w:val="0"/>
              <w:marTop w:val="0"/>
              <w:marBottom w:val="0"/>
              <w:divBdr>
                <w:top w:val="none" w:sz="0" w:space="0" w:color="auto"/>
                <w:left w:val="none" w:sz="0" w:space="0" w:color="auto"/>
                <w:bottom w:val="none" w:sz="0" w:space="0" w:color="auto"/>
                <w:right w:val="none" w:sz="0" w:space="0" w:color="auto"/>
              </w:divBdr>
            </w:div>
            <w:div w:id="1513254145">
              <w:marLeft w:val="0"/>
              <w:marRight w:val="0"/>
              <w:marTop w:val="0"/>
              <w:marBottom w:val="0"/>
              <w:divBdr>
                <w:top w:val="none" w:sz="0" w:space="0" w:color="auto"/>
                <w:left w:val="none" w:sz="0" w:space="0" w:color="auto"/>
                <w:bottom w:val="none" w:sz="0" w:space="0" w:color="auto"/>
                <w:right w:val="none" w:sz="0" w:space="0" w:color="auto"/>
              </w:divBdr>
            </w:div>
            <w:div w:id="1533574258">
              <w:marLeft w:val="0"/>
              <w:marRight w:val="0"/>
              <w:marTop w:val="0"/>
              <w:marBottom w:val="0"/>
              <w:divBdr>
                <w:top w:val="none" w:sz="0" w:space="0" w:color="auto"/>
                <w:left w:val="none" w:sz="0" w:space="0" w:color="auto"/>
                <w:bottom w:val="none" w:sz="0" w:space="0" w:color="auto"/>
                <w:right w:val="none" w:sz="0" w:space="0" w:color="auto"/>
              </w:divBdr>
            </w:div>
            <w:div w:id="17829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561146">
      <w:bodyDiv w:val="1"/>
      <w:marLeft w:val="0"/>
      <w:marRight w:val="0"/>
      <w:marTop w:val="0"/>
      <w:marBottom w:val="0"/>
      <w:divBdr>
        <w:top w:val="none" w:sz="0" w:space="0" w:color="auto"/>
        <w:left w:val="none" w:sz="0" w:space="0" w:color="auto"/>
        <w:bottom w:val="none" w:sz="0" w:space="0" w:color="auto"/>
        <w:right w:val="none" w:sz="0" w:space="0" w:color="auto"/>
      </w:divBdr>
      <w:divsChild>
        <w:div w:id="1026057963">
          <w:marLeft w:val="0"/>
          <w:marRight w:val="0"/>
          <w:marTop w:val="0"/>
          <w:marBottom w:val="0"/>
          <w:divBdr>
            <w:top w:val="none" w:sz="0" w:space="0" w:color="auto"/>
            <w:left w:val="none" w:sz="0" w:space="0" w:color="auto"/>
            <w:bottom w:val="none" w:sz="0" w:space="0" w:color="auto"/>
            <w:right w:val="none" w:sz="0" w:space="0" w:color="auto"/>
          </w:divBdr>
          <w:divsChild>
            <w:div w:id="485391543">
              <w:marLeft w:val="0"/>
              <w:marRight w:val="0"/>
              <w:marTop w:val="0"/>
              <w:marBottom w:val="0"/>
              <w:divBdr>
                <w:top w:val="none" w:sz="0" w:space="0" w:color="auto"/>
                <w:left w:val="none" w:sz="0" w:space="0" w:color="auto"/>
                <w:bottom w:val="none" w:sz="0" w:space="0" w:color="auto"/>
                <w:right w:val="none" w:sz="0" w:space="0" w:color="auto"/>
              </w:divBdr>
            </w:div>
            <w:div w:id="687412436">
              <w:marLeft w:val="0"/>
              <w:marRight w:val="0"/>
              <w:marTop w:val="0"/>
              <w:marBottom w:val="0"/>
              <w:divBdr>
                <w:top w:val="none" w:sz="0" w:space="0" w:color="auto"/>
                <w:left w:val="none" w:sz="0" w:space="0" w:color="auto"/>
                <w:bottom w:val="none" w:sz="0" w:space="0" w:color="auto"/>
                <w:right w:val="none" w:sz="0" w:space="0" w:color="auto"/>
              </w:divBdr>
            </w:div>
            <w:div w:id="839270445">
              <w:marLeft w:val="0"/>
              <w:marRight w:val="0"/>
              <w:marTop w:val="0"/>
              <w:marBottom w:val="0"/>
              <w:divBdr>
                <w:top w:val="none" w:sz="0" w:space="0" w:color="auto"/>
                <w:left w:val="none" w:sz="0" w:space="0" w:color="auto"/>
                <w:bottom w:val="none" w:sz="0" w:space="0" w:color="auto"/>
                <w:right w:val="none" w:sz="0" w:space="0" w:color="auto"/>
              </w:divBdr>
            </w:div>
            <w:div w:id="864292695">
              <w:marLeft w:val="0"/>
              <w:marRight w:val="0"/>
              <w:marTop w:val="0"/>
              <w:marBottom w:val="0"/>
              <w:divBdr>
                <w:top w:val="none" w:sz="0" w:space="0" w:color="auto"/>
                <w:left w:val="none" w:sz="0" w:space="0" w:color="auto"/>
                <w:bottom w:val="none" w:sz="0" w:space="0" w:color="auto"/>
                <w:right w:val="none" w:sz="0" w:space="0" w:color="auto"/>
              </w:divBdr>
            </w:div>
            <w:div w:id="1863199975">
              <w:marLeft w:val="0"/>
              <w:marRight w:val="0"/>
              <w:marTop w:val="0"/>
              <w:marBottom w:val="0"/>
              <w:divBdr>
                <w:top w:val="none" w:sz="0" w:space="0" w:color="auto"/>
                <w:left w:val="none" w:sz="0" w:space="0" w:color="auto"/>
                <w:bottom w:val="none" w:sz="0" w:space="0" w:color="auto"/>
                <w:right w:val="none" w:sz="0" w:space="0" w:color="auto"/>
              </w:divBdr>
            </w:div>
            <w:div w:id="1951467520">
              <w:marLeft w:val="0"/>
              <w:marRight w:val="0"/>
              <w:marTop w:val="0"/>
              <w:marBottom w:val="0"/>
              <w:divBdr>
                <w:top w:val="none" w:sz="0" w:space="0" w:color="auto"/>
                <w:left w:val="none" w:sz="0" w:space="0" w:color="auto"/>
                <w:bottom w:val="none" w:sz="0" w:space="0" w:color="auto"/>
                <w:right w:val="none" w:sz="0" w:space="0" w:color="auto"/>
              </w:divBdr>
            </w:div>
          </w:divsChild>
        </w:div>
        <w:div w:id="2127264104">
          <w:marLeft w:val="0"/>
          <w:marRight w:val="0"/>
          <w:marTop w:val="0"/>
          <w:marBottom w:val="0"/>
          <w:divBdr>
            <w:top w:val="none" w:sz="0" w:space="0" w:color="auto"/>
            <w:left w:val="none" w:sz="0" w:space="0" w:color="auto"/>
            <w:bottom w:val="none" w:sz="0" w:space="0" w:color="auto"/>
            <w:right w:val="none" w:sz="0" w:space="0" w:color="auto"/>
          </w:divBdr>
        </w:div>
      </w:divsChild>
    </w:div>
    <w:div w:id="827286178">
      <w:bodyDiv w:val="1"/>
      <w:marLeft w:val="0"/>
      <w:marRight w:val="0"/>
      <w:marTop w:val="0"/>
      <w:marBottom w:val="0"/>
      <w:divBdr>
        <w:top w:val="none" w:sz="0" w:space="0" w:color="auto"/>
        <w:left w:val="none" w:sz="0" w:space="0" w:color="auto"/>
        <w:bottom w:val="none" w:sz="0" w:space="0" w:color="auto"/>
        <w:right w:val="none" w:sz="0" w:space="0" w:color="auto"/>
      </w:divBdr>
    </w:div>
    <w:div w:id="843131837">
      <w:bodyDiv w:val="1"/>
      <w:marLeft w:val="0"/>
      <w:marRight w:val="0"/>
      <w:marTop w:val="0"/>
      <w:marBottom w:val="0"/>
      <w:divBdr>
        <w:top w:val="none" w:sz="0" w:space="0" w:color="auto"/>
        <w:left w:val="none" w:sz="0" w:space="0" w:color="auto"/>
        <w:bottom w:val="none" w:sz="0" w:space="0" w:color="auto"/>
        <w:right w:val="none" w:sz="0" w:space="0" w:color="auto"/>
      </w:divBdr>
    </w:div>
    <w:div w:id="882448702">
      <w:bodyDiv w:val="1"/>
      <w:marLeft w:val="0"/>
      <w:marRight w:val="0"/>
      <w:marTop w:val="0"/>
      <w:marBottom w:val="0"/>
      <w:divBdr>
        <w:top w:val="none" w:sz="0" w:space="0" w:color="auto"/>
        <w:left w:val="none" w:sz="0" w:space="0" w:color="auto"/>
        <w:bottom w:val="none" w:sz="0" w:space="0" w:color="auto"/>
        <w:right w:val="none" w:sz="0" w:space="0" w:color="auto"/>
      </w:divBdr>
    </w:div>
    <w:div w:id="893540064">
      <w:bodyDiv w:val="1"/>
      <w:marLeft w:val="0"/>
      <w:marRight w:val="0"/>
      <w:marTop w:val="0"/>
      <w:marBottom w:val="0"/>
      <w:divBdr>
        <w:top w:val="none" w:sz="0" w:space="0" w:color="auto"/>
        <w:left w:val="none" w:sz="0" w:space="0" w:color="auto"/>
        <w:bottom w:val="none" w:sz="0" w:space="0" w:color="auto"/>
        <w:right w:val="none" w:sz="0" w:space="0" w:color="auto"/>
      </w:divBdr>
    </w:div>
    <w:div w:id="1002046374">
      <w:bodyDiv w:val="1"/>
      <w:marLeft w:val="0"/>
      <w:marRight w:val="0"/>
      <w:marTop w:val="0"/>
      <w:marBottom w:val="0"/>
      <w:divBdr>
        <w:top w:val="none" w:sz="0" w:space="0" w:color="auto"/>
        <w:left w:val="none" w:sz="0" w:space="0" w:color="auto"/>
        <w:bottom w:val="none" w:sz="0" w:space="0" w:color="auto"/>
        <w:right w:val="none" w:sz="0" w:space="0" w:color="auto"/>
      </w:divBdr>
      <w:divsChild>
        <w:div w:id="64575202">
          <w:marLeft w:val="0"/>
          <w:marRight w:val="0"/>
          <w:marTop w:val="0"/>
          <w:marBottom w:val="0"/>
          <w:divBdr>
            <w:top w:val="none" w:sz="0" w:space="0" w:color="auto"/>
            <w:left w:val="none" w:sz="0" w:space="0" w:color="auto"/>
            <w:bottom w:val="none" w:sz="0" w:space="0" w:color="auto"/>
            <w:right w:val="none" w:sz="0" w:space="0" w:color="auto"/>
          </w:divBdr>
        </w:div>
        <w:div w:id="119307874">
          <w:marLeft w:val="0"/>
          <w:marRight w:val="0"/>
          <w:marTop w:val="0"/>
          <w:marBottom w:val="0"/>
          <w:divBdr>
            <w:top w:val="none" w:sz="0" w:space="0" w:color="auto"/>
            <w:left w:val="none" w:sz="0" w:space="0" w:color="auto"/>
            <w:bottom w:val="none" w:sz="0" w:space="0" w:color="auto"/>
            <w:right w:val="none" w:sz="0" w:space="0" w:color="auto"/>
          </w:divBdr>
        </w:div>
        <w:div w:id="191457603">
          <w:marLeft w:val="0"/>
          <w:marRight w:val="0"/>
          <w:marTop w:val="0"/>
          <w:marBottom w:val="0"/>
          <w:divBdr>
            <w:top w:val="none" w:sz="0" w:space="0" w:color="auto"/>
            <w:left w:val="none" w:sz="0" w:space="0" w:color="auto"/>
            <w:bottom w:val="none" w:sz="0" w:space="0" w:color="auto"/>
            <w:right w:val="none" w:sz="0" w:space="0" w:color="auto"/>
          </w:divBdr>
        </w:div>
      </w:divsChild>
    </w:div>
    <w:div w:id="1467163768">
      <w:bodyDiv w:val="1"/>
      <w:marLeft w:val="0"/>
      <w:marRight w:val="0"/>
      <w:marTop w:val="0"/>
      <w:marBottom w:val="0"/>
      <w:divBdr>
        <w:top w:val="none" w:sz="0" w:space="0" w:color="auto"/>
        <w:left w:val="none" w:sz="0" w:space="0" w:color="auto"/>
        <w:bottom w:val="none" w:sz="0" w:space="0" w:color="auto"/>
        <w:right w:val="none" w:sz="0" w:space="0" w:color="auto"/>
      </w:divBdr>
      <w:divsChild>
        <w:div w:id="371469006">
          <w:marLeft w:val="0"/>
          <w:marRight w:val="0"/>
          <w:marTop w:val="0"/>
          <w:marBottom w:val="0"/>
          <w:divBdr>
            <w:top w:val="none" w:sz="0" w:space="0" w:color="auto"/>
            <w:left w:val="none" w:sz="0" w:space="0" w:color="auto"/>
            <w:bottom w:val="none" w:sz="0" w:space="0" w:color="auto"/>
            <w:right w:val="none" w:sz="0" w:space="0" w:color="auto"/>
          </w:divBdr>
        </w:div>
        <w:div w:id="1109856774">
          <w:marLeft w:val="0"/>
          <w:marRight w:val="0"/>
          <w:marTop w:val="0"/>
          <w:marBottom w:val="0"/>
          <w:divBdr>
            <w:top w:val="none" w:sz="0" w:space="0" w:color="auto"/>
            <w:left w:val="none" w:sz="0" w:space="0" w:color="auto"/>
            <w:bottom w:val="none" w:sz="0" w:space="0" w:color="auto"/>
            <w:right w:val="none" w:sz="0" w:space="0" w:color="auto"/>
          </w:divBdr>
        </w:div>
        <w:div w:id="1127696448">
          <w:marLeft w:val="0"/>
          <w:marRight w:val="0"/>
          <w:marTop w:val="0"/>
          <w:marBottom w:val="0"/>
          <w:divBdr>
            <w:top w:val="none" w:sz="0" w:space="0" w:color="auto"/>
            <w:left w:val="none" w:sz="0" w:space="0" w:color="auto"/>
            <w:bottom w:val="none" w:sz="0" w:space="0" w:color="auto"/>
            <w:right w:val="none" w:sz="0" w:space="0" w:color="auto"/>
          </w:divBdr>
        </w:div>
      </w:divsChild>
    </w:div>
    <w:div w:id="1511216173">
      <w:bodyDiv w:val="1"/>
      <w:marLeft w:val="0"/>
      <w:marRight w:val="0"/>
      <w:marTop w:val="0"/>
      <w:marBottom w:val="0"/>
      <w:divBdr>
        <w:top w:val="none" w:sz="0" w:space="0" w:color="auto"/>
        <w:left w:val="none" w:sz="0" w:space="0" w:color="auto"/>
        <w:bottom w:val="none" w:sz="0" w:space="0" w:color="auto"/>
        <w:right w:val="none" w:sz="0" w:space="0" w:color="auto"/>
      </w:divBdr>
    </w:div>
    <w:div w:id="1537231928">
      <w:bodyDiv w:val="1"/>
      <w:marLeft w:val="0"/>
      <w:marRight w:val="0"/>
      <w:marTop w:val="0"/>
      <w:marBottom w:val="0"/>
      <w:divBdr>
        <w:top w:val="none" w:sz="0" w:space="0" w:color="auto"/>
        <w:left w:val="none" w:sz="0" w:space="0" w:color="auto"/>
        <w:bottom w:val="none" w:sz="0" w:space="0" w:color="auto"/>
        <w:right w:val="none" w:sz="0" w:space="0" w:color="auto"/>
      </w:divBdr>
      <w:divsChild>
        <w:div w:id="40326962">
          <w:marLeft w:val="0"/>
          <w:marRight w:val="0"/>
          <w:marTop w:val="0"/>
          <w:marBottom w:val="0"/>
          <w:divBdr>
            <w:top w:val="none" w:sz="0" w:space="0" w:color="auto"/>
            <w:left w:val="none" w:sz="0" w:space="0" w:color="auto"/>
            <w:bottom w:val="none" w:sz="0" w:space="0" w:color="auto"/>
            <w:right w:val="none" w:sz="0" w:space="0" w:color="auto"/>
          </w:divBdr>
        </w:div>
        <w:div w:id="618267923">
          <w:marLeft w:val="0"/>
          <w:marRight w:val="0"/>
          <w:marTop w:val="0"/>
          <w:marBottom w:val="0"/>
          <w:divBdr>
            <w:top w:val="none" w:sz="0" w:space="0" w:color="auto"/>
            <w:left w:val="none" w:sz="0" w:space="0" w:color="auto"/>
            <w:bottom w:val="none" w:sz="0" w:space="0" w:color="auto"/>
            <w:right w:val="none" w:sz="0" w:space="0" w:color="auto"/>
          </w:divBdr>
        </w:div>
        <w:div w:id="1029256885">
          <w:marLeft w:val="0"/>
          <w:marRight w:val="0"/>
          <w:marTop w:val="0"/>
          <w:marBottom w:val="0"/>
          <w:divBdr>
            <w:top w:val="none" w:sz="0" w:space="0" w:color="auto"/>
            <w:left w:val="none" w:sz="0" w:space="0" w:color="auto"/>
            <w:bottom w:val="none" w:sz="0" w:space="0" w:color="auto"/>
            <w:right w:val="none" w:sz="0" w:space="0" w:color="auto"/>
          </w:divBdr>
        </w:div>
      </w:divsChild>
    </w:div>
    <w:div w:id="1813255399">
      <w:bodyDiv w:val="1"/>
      <w:marLeft w:val="0"/>
      <w:marRight w:val="0"/>
      <w:marTop w:val="0"/>
      <w:marBottom w:val="0"/>
      <w:divBdr>
        <w:top w:val="none" w:sz="0" w:space="0" w:color="auto"/>
        <w:left w:val="none" w:sz="0" w:space="0" w:color="auto"/>
        <w:bottom w:val="none" w:sz="0" w:space="0" w:color="auto"/>
        <w:right w:val="none" w:sz="0" w:space="0" w:color="auto"/>
      </w:divBdr>
      <w:divsChild>
        <w:div w:id="96600874">
          <w:marLeft w:val="0"/>
          <w:marRight w:val="0"/>
          <w:marTop w:val="0"/>
          <w:marBottom w:val="0"/>
          <w:divBdr>
            <w:top w:val="none" w:sz="0" w:space="0" w:color="auto"/>
            <w:left w:val="none" w:sz="0" w:space="0" w:color="auto"/>
            <w:bottom w:val="none" w:sz="0" w:space="0" w:color="auto"/>
            <w:right w:val="none" w:sz="0" w:space="0" w:color="auto"/>
          </w:divBdr>
        </w:div>
        <w:div w:id="1511096119">
          <w:marLeft w:val="0"/>
          <w:marRight w:val="0"/>
          <w:marTop w:val="0"/>
          <w:marBottom w:val="0"/>
          <w:divBdr>
            <w:top w:val="none" w:sz="0" w:space="0" w:color="auto"/>
            <w:left w:val="none" w:sz="0" w:space="0" w:color="auto"/>
            <w:bottom w:val="none" w:sz="0" w:space="0" w:color="auto"/>
            <w:right w:val="none" w:sz="0" w:space="0" w:color="auto"/>
          </w:divBdr>
          <w:divsChild>
            <w:div w:id="198667622">
              <w:marLeft w:val="0"/>
              <w:marRight w:val="0"/>
              <w:marTop w:val="0"/>
              <w:marBottom w:val="0"/>
              <w:divBdr>
                <w:top w:val="none" w:sz="0" w:space="0" w:color="auto"/>
                <w:left w:val="none" w:sz="0" w:space="0" w:color="auto"/>
                <w:bottom w:val="none" w:sz="0" w:space="0" w:color="auto"/>
                <w:right w:val="none" w:sz="0" w:space="0" w:color="auto"/>
              </w:divBdr>
            </w:div>
            <w:div w:id="310404257">
              <w:marLeft w:val="0"/>
              <w:marRight w:val="0"/>
              <w:marTop w:val="0"/>
              <w:marBottom w:val="0"/>
              <w:divBdr>
                <w:top w:val="none" w:sz="0" w:space="0" w:color="auto"/>
                <w:left w:val="none" w:sz="0" w:space="0" w:color="auto"/>
                <w:bottom w:val="none" w:sz="0" w:space="0" w:color="auto"/>
                <w:right w:val="none" w:sz="0" w:space="0" w:color="auto"/>
              </w:divBdr>
            </w:div>
            <w:div w:id="328218794">
              <w:marLeft w:val="0"/>
              <w:marRight w:val="0"/>
              <w:marTop w:val="0"/>
              <w:marBottom w:val="0"/>
              <w:divBdr>
                <w:top w:val="none" w:sz="0" w:space="0" w:color="auto"/>
                <w:left w:val="none" w:sz="0" w:space="0" w:color="auto"/>
                <w:bottom w:val="none" w:sz="0" w:space="0" w:color="auto"/>
                <w:right w:val="none" w:sz="0" w:space="0" w:color="auto"/>
              </w:divBdr>
            </w:div>
            <w:div w:id="458189534">
              <w:marLeft w:val="0"/>
              <w:marRight w:val="0"/>
              <w:marTop w:val="0"/>
              <w:marBottom w:val="0"/>
              <w:divBdr>
                <w:top w:val="none" w:sz="0" w:space="0" w:color="auto"/>
                <w:left w:val="none" w:sz="0" w:space="0" w:color="auto"/>
                <w:bottom w:val="none" w:sz="0" w:space="0" w:color="auto"/>
                <w:right w:val="none" w:sz="0" w:space="0" w:color="auto"/>
              </w:divBdr>
            </w:div>
            <w:div w:id="1717582614">
              <w:marLeft w:val="0"/>
              <w:marRight w:val="0"/>
              <w:marTop w:val="0"/>
              <w:marBottom w:val="0"/>
              <w:divBdr>
                <w:top w:val="none" w:sz="0" w:space="0" w:color="auto"/>
                <w:left w:val="none" w:sz="0" w:space="0" w:color="auto"/>
                <w:bottom w:val="none" w:sz="0" w:space="0" w:color="auto"/>
                <w:right w:val="none" w:sz="0" w:space="0" w:color="auto"/>
              </w:divBdr>
            </w:div>
            <w:div w:id="17546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50506">
      <w:bodyDiv w:val="1"/>
      <w:marLeft w:val="0"/>
      <w:marRight w:val="0"/>
      <w:marTop w:val="0"/>
      <w:marBottom w:val="0"/>
      <w:divBdr>
        <w:top w:val="none" w:sz="0" w:space="0" w:color="auto"/>
        <w:left w:val="none" w:sz="0" w:space="0" w:color="auto"/>
        <w:bottom w:val="none" w:sz="0" w:space="0" w:color="auto"/>
        <w:right w:val="none" w:sz="0" w:space="0" w:color="auto"/>
      </w:divBdr>
    </w:div>
    <w:div w:id="2079591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monitor.civicus.org/country/sweden/"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hudoc.esc.coe.int/" TargetMode="Externa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konkurrensverket.se/en/news/2025/sharper-tools-to-exclude-criminal-and-disreputable-suppliers-from-systems-of-choic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rm.coe.int/2025-annual-report/48802b1633" TargetMode="External"/><Relationship Id="rId32" Type="http://schemas.openxmlformats.org/officeDocument/2006/relationships/hyperlink" Target="https://www.av.se/arbetsmiljoarbete-och-inspektioner/inspektioner-utredningar-och-kontroller/inspektion/aktuella-inspektioner/inspektion-av-visselblasning/"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liberties.eu/f/wtaqoq" TargetMode="External"/><Relationship Id="rId28" Type="http://schemas.openxmlformats.org/officeDocument/2006/relationships/hyperlink" Target="https://www.riksdagen.se/en/news/articles/2025/oct/21/the-riksdag-votes-no-to-referendum-on_cms9e9d74ca-264f-42e7-a05d-783c15f1258aen/" TargetMode="External"/><Relationship Id="rId36" Type="http://schemas.openxmlformats.org/officeDocument/2006/relationships/footer" Target="footer5.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regeringen.se/contentassets/f6bc7d1544af4551b748f75c30cd19e0/transparency-international-sverige.pdf"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publikt.se/nyhet/stora-skillnader-i-hur-visselblasare-hanteras-27626" TargetMode="External"/><Relationship Id="rId30" Type="http://schemas.openxmlformats.org/officeDocument/2006/relationships/hyperlink" Target="https://www.domstol.se/om-sveriges-domstolar/statistik-styrning-och-utveckling/arsredovisning/arsredovisning-2025/" TargetMode="External"/><Relationship Id="rId35"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D0A1AA51-CC01-49FC-863C-5FF69F8F94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C6607D8F-355C-4FFD-A1BE-06ED203F901C}">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455503F8-377E-4C54-9032-A4D3173AF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B49E3ADB-85C8-47D4-BF87-DED86F83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7144</Words>
  <Characters>40727</Characters>
  <Application>Microsoft Office Word</Application>
  <DocSecurity>0</DocSecurity>
  <PresentationFormat>Microsoft Word 14.0</PresentationFormat>
  <Lines>339</Lines>
  <Paragraphs>95</Paragraphs>
  <ScaleCrop>true</ScaleCrop>
  <Manager/>
  <Company/>
  <LinksUpToDate>false</LinksUpToDate>
  <CharactersWithSpaces>47776</CharactersWithSpaces>
  <SharedDoc>false</SharedDoc>
  <HLinks>
    <vt:vector size="78" baseType="variant">
      <vt:variant>
        <vt:i4>7012478</vt:i4>
      </vt:variant>
      <vt:variant>
        <vt:i4>30</vt:i4>
      </vt:variant>
      <vt:variant>
        <vt:i4>0</vt:i4>
      </vt:variant>
      <vt:variant>
        <vt:i4>5</vt:i4>
      </vt:variant>
      <vt:variant>
        <vt:lpwstr>https://www.av.se/arbetsmiljoarbete-och-inspektioner/inspektioner-utredningar-och-kontroller/inspektion/aktuella-inspektioner/inspektion-av-visselblasning/</vt:lpwstr>
      </vt:variant>
      <vt:variant>
        <vt:lpwstr/>
      </vt:variant>
      <vt:variant>
        <vt:i4>7471200</vt:i4>
      </vt:variant>
      <vt:variant>
        <vt:i4>27</vt:i4>
      </vt:variant>
      <vt:variant>
        <vt:i4>0</vt:i4>
      </vt:variant>
      <vt:variant>
        <vt:i4>5</vt:i4>
      </vt:variant>
      <vt:variant>
        <vt:lpwstr>https://regeringen.se/contentassets/f6bc7d1544af4551b748f75c30cd19e0/transparency-international-sverige.pdf</vt:lpwstr>
      </vt:variant>
      <vt:variant>
        <vt:lpwstr/>
      </vt:variant>
      <vt:variant>
        <vt:i4>2490409</vt:i4>
      </vt:variant>
      <vt:variant>
        <vt:i4>24</vt:i4>
      </vt:variant>
      <vt:variant>
        <vt:i4>0</vt:i4>
      </vt:variant>
      <vt:variant>
        <vt:i4>5</vt:i4>
      </vt:variant>
      <vt:variant>
        <vt:lpwstr>https://www.domstol.se/om-sveriges-domstolar/statistik-styrning-och-utveckling/arsredovisning/arsredovisning-2025/</vt:lpwstr>
      </vt:variant>
      <vt:variant>
        <vt:lpwstr/>
      </vt:variant>
      <vt:variant>
        <vt:i4>786461</vt:i4>
      </vt:variant>
      <vt:variant>
        <vt:i4>21</vt:i4>
      </vt:variant>
      <vt:variant>
        <vt:i4>0</vt:i4>
      </vt:variant>
      <vt:variant>
        <vt:i4>5</vt:i4>
      </vt:variant>
      <vt:variant>
        <vt:lpwstr>https://www.konkurrensverket.se/en/news/2025/sharper-tools-to-exclude-criminal-and-disreputable-suppliers-from-systems-of-choice</vt:lpwstr>
      </vt:variant>
      <vt:variant>
        <vt:lpwstr/>
      </vt:variant>
      <vt:variant>
        <vt:i4>6226040</vt:i4>
      </vt:variant>
      <vt:variant>
        <vt:i4>18</vt:i4>
      </vt:variant>
      <vt:variant>
        <vt:i4>0</vt:i4>
      </vt:variant>
      <vt:variant>
        <vt:i4>5</vt:i4>
      </vt:variant>
      <vt:variant>
        <vt:lpwstr>https://www.riksdagen.se/en/news/articles/2025/oct/21/the-riksdag-votes-no-to-referendum-on_cms9e9d74ca-264f-42e7-a05d-783c15f1258aen/</vt:lpwstr>
      </vt:variant>
      <vt:variant>
        <vt:lpwstr/>
      </vt:variant>
      <vt:variant>
        <vt:i4>4456522</vt:i4>
      </vt:variant>
      <vt:variant>
        <vt:i4>15</vt:i4>
      </vt:variant>
      <vt:variant>
        <vt:i4>0</vt:i4>
      </vt:variant>
      <vt:variant>
        <vt:i4>5</vt:i4>
      </vt:variant>
      <vt:variant>
        <vt:lpwstr>https://www.publikt.se/nyhet/stora-skillnader-i-hur-visselblasare-hanteras-27626</vt:lpwstr>
      </vt:variant>
      <vt:variant>
        <vt:lpwstr/>
      </vt:variant>
      <vt:variant>
        <vt:i4>7405600</vt:i4>
      </vt:variant>
      <vt:variant>
        <vt:i4>12</vt:i4>
      </vt:variant>
      <vt:variant>
        <vt:i4>0</vt:i4>
      </vt:variant>
      <vt:variant>
        <vt:i4>5</vt:i4>
      </vt:variant>
      <vt:variant>
        <vt:lpwstr>https://monitor.civicus.org/country/sweden/</vt:lpwstr>
      </vt:variant>
      <vt:variant>
        <vt:lpwstr/>
      </vt:variant>
      <vt:variant>
        <vt:i4>7536695</vt:i4>
      </vt:variant>
      <vt:variant>
        <vt:i4>9</vt:i4>
      </vt:variant>
      <vt:variant>
        <vt:i4>0</vt:i4>
      </vt:variant>
      <vt:variant>
        <vt:i4>5</vt:i4>
      </vt:variant>
      <vt:variant>
        <vt:lpwstr>https://hudoc.esc.coe.int/</vt:lpwstr>
      </vt:variant>
      <vt:variant>
        <vt:lpwstr>{%22sort%22:[%22escpublicationdate%20descending%22],%22escdctype%22:[%22FOND%22,%22Conclusion%22,%22Ob%22]}</vt:lpwstr>
      </vt:variant>
      <vt:variant>
        <vt:i4>851992</vt:i4>
      </vt:variant>
      <vt:variant>
        <vt:i4>6</vt:i4>
      </vt:variant>
      <vt:variant>
        <vt:i4>0</vt:i4>
      </vt:variant>
      <vt:variant>
        <vt:i4>5</vt:i4>
      </vt:variant>
      <vt:variant>
        <vt:lpwstr>https://rm.coe.int/2025-annual-report/48802b1633</vt:lpwstr>
      </vt:variant>
      <vt:variant>
        <vt:lpwstr/>
      </vt:variant>
      <vt:variant>
        <vt:i4>1114182</vt:i4>
      </vt:variant>
      <vt:variant>
        <vt:i4>3</vt:i4>
      </vt:variant>
      <vt:variant>
        <vt:i4>0</vt:i4>
      </vt:variant>
      <vt:variant>
        <vt:i4>5</vt:i4>
      </vt:variant>
      <vt:variant>
        <vt:lpwstr>https://www.liberties.eu/f/wtaqoq</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2026-07-16T03:41:00Z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2026-07-15T09:42:16Z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a4c95c85-4ca3-40c9-8426-2ba487b99941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ContentTypeId">
    <vt:lpwstr>0x010100CD92FCBF67B53A4EB1060DF04C43C986</vt:lpwstr>
  </property>
  <property fmtid="{D5CDD505-2E9C-101B-9397-08002B2CF9AE}" pid="13" name="CPTemplateID">
    <vt:lpwstr>CP-025</vt:lpwstr>
  </property>
  <property fmtid="{D5CDD505-2E9C-101B-9397-08002B2CF9AE}" pid="14" name="Created using">
    <vt:lpwstr>LW 7.0.1, Build 20200226</vt:lpwstr>
  </property>
  <property fmtid="{D5CDD505-2E9C-101B-9397-08002B2CF9AE}" pid="15" name="Total parts">
    <vt:lpwstr>1</vt:lpwstr>
  </property>
  <property fmtid="{D5CDD505-2E9C-101B-9397-08002B2CF9AE}" pid="16" name="DocStatus">
    <vt:lpwstr>Green</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ies>
</file>